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0FE22" w14:textId="77777777" w:rsidR="00D06B30" w:rsidRDefault="00000000">
      <w:pPr>
        <w:jc w:val="center"/>
        <w:rPr>
          <w:rFonts w:ascii="Arial Black" w:eastAsia="Arial Black" w:hAnsi="Arial Black" w:cs="Arial Black"/>
          <w:color w:val="C00000"/>
          <w:sz w:val="48"/>
          <w:szCs w:val="48"/>
        </w:rPr>
      </w:pPr>
      <w:r>
        <w:rPr>
          <w:rFonts w:ascii="Arial Black" w:eastAsia="Arial Black" w:hAnsi="Arial Black" w:cs="Arial Black"/>
          <w:b/>
          <w:bCs/>
          <w:color w:val="C00000"/>
          <w:sz w:val="48"/>
          <w:szCs w:val="48"/>
        </w:rPr>
        <w:t>OFERTA ESPECIAL</w:t>
      </w:r>
    </w:p>
    <w:p w14:paraId="4C1223E2" w14:textId="77777777" w:rsidR="00D06B30" w:rsidRDefault="00000000">
      <w:pPr>
        <w:jc w:val="center"/>
        <w:rPr>
          <w:rFonts w:ascii="Arial Black" w:eastAsia="Arial Black" w:hAnsi="Arial Black" w:cs="Arial Black"/>
          <w:color w:val="002060"/>
          <w:sz w:val="56"/>
          <w:szCs w:val="56"/>
        </w:rPr>
      </w:pPr>
      <w:r>
        <w:rPr>
          <w:rFonts w:ascii="Arial Black" w:eastAsia="Arial Black" w:hAnsi="Arial Black" w:cs="Arial Black"/>
          <w:b/>
          <w:bCs/>
          <w:color w:val="002060"/>
          <w:sz w:val="56"/>
          <w:szCs w:val="56"/>
        </w:rPr>
        <w:t>IBEROSTAR HOTELS</w:t>
      </w:r>
    </w:p>
    <w:p w14:paraId="6EF78484" w14:textId="77777777" w:rsidR="00D06B30" w:rsidRDefault="00000000">
      <w:pPr>
        <w:jc w:val="center"/>
        <w:rPr>
          <w:rFonts w:ascii="Arial Black" w:eastAsia="Arial Black" w:hAnsi="Arial Black" w:cs="Arial Black"/>
          <w:color w:val="002060"/>
          <w:sz w:val="56"/>
          <w:szCs w:val="56"/>
        </w:rPr>
      </w:pPr>
      <w:r>
        <w:rPr>
          <w:rFonts w:ascii="Arial Black" w:eastAsia="Arial Black" w:hAnsi="Arial Black" w:cs="Arial Black"/>
          <w:b/>
          <w:bCs/>
          <w:color w:val="002060"/>
          <w:sz w:val="56"/>
          <w:szCs w:val="56"/>
        </w:rPr>
        <w:t>CAYO SANTA MARIA</w:t>
      </w:r>
    </w:p>
    <w:p w14:paraId="28A3BFFB" w14:textId="77777777" w:rsidR="00D06B30" w:rsidRDefault="00000000">
      <w:pPr>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2026 (04 Días / 03 Noches)</w:t>
      </w:r>
    </w:p>
    <w:p w14:paraId="2D08B59C" w14:textId="77777777" w:rsidR="00D06B30" w:rsidRDefault="00D06B30">
      <w:pPr>
        <w:rPr>
          <w:rFonts w:ascii="Arial" w:eastAsia="Arial" w:hAnsi="Arial" w:cs="Arial"/>
          <w:color w:val="FF9900"/>
          <w:sz w:val="22"/>
          <w:szCs w:val="22"/>
        </w:rPr>
      </w:pPr>
    </w:p>
    <w:p w14:paraId="422BE8B4" w14:textId="77777777" w:rsidR="00D06B30" w:rsidRDefault="00D06B30">
      <w:pPr>
        <w:rPr>
          <w:rFonts w:ascii="Arial" w:eastAsia="Arial" w:hAnsi="Arial" w:cs="Arial"/>
          <w:color w:val="FF9900"/>
          <w:sz w:val="22"/>
          <w:szCs w:val="22"/>
        </w:rPr>
      </w:pPr>
    </w:p>
    <w:p w14:paraId="298B22B9" w14:textId="77777777" w:rsidR="00D06B30" w:rsidRDefault="00000000">
      <w:pPr>
        <w:pBdr>
          <w:top w:val="nil"/>
          <w:left w:val="nil"/>
          <w:bottom w:val="nil"/>
          <w:right w:val="nil"/>
          <w:between w:val="nil"/>
        </w:pBdr>
        <w:rPr>
          <w:rFonts w:ascii="Arial" w:eastAsia="Arial" w:hAnsi="Arial" w:cs="Arial"/>
          <w:color w:val="E36C0A"/>
          <w:sz w:val="20"/>
          <w:szCs w:val="20"/>
        </w:rPr>
      </w:pPr>
      <w:r>
        <w:rPr>
          <w:rFonts w:ascii="Arial" w:eastAsia="Arial" w:hAnsi="Arial" w:cs="Arial"/>
          <w:b/>
          <w:bCs/>
          <w:color w:val="E36C0A"/>
          <w:sz w:val="20"/>
          <w:szCs w:val="20"/>
        </w:rPr>
        <w:t>Programa Incluye:</w:t>
      </w:r>
    </w:p>
    <w:p w14:paraId="59BFEB2C" w14:textId="77777777" w:rsidR="00D06B30" w:rsidRDefault="00000000">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Traslado aeropuerto Santa Clara / hotel / aeropuerto Santa Clara en servicio regular</w:t>
      </w:r>
    </w:p>
    <w:p w14:paraId="32ADDA44" w14:textId="77777777" w:rsidR="00D06B30" w:rsidRDefault="00000000">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b/>
          <w:bCs/>
          <w:color w:val="000000"/>
          <w:sz w:val="18"/>
          <w:szCs w:val="18"/>
        </w:rPr>
        <w:t>03 noches de alojamiento</w:t>
      </w:r>
    </w:p>
    <w:p w14:paraId="529B3007" w14:textId="77777777" w:rsidR="00D06B30" w:rsidRDefault="00000000">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b/>
          <w:bCs/>
          <w:color w:val="000000"/>
          <w:sz w:val="18"/>
          <w:szCs w:val="18"/>
        </w:rPr>
        <w:t>Sistema TODO INCLUIDO.</w:t>
      </w:r>
    </w:p>
    <w:p w14:paraId="268E67C4" w14:textId="77777777" w:rsidR="00D06B30" w:rsidRDefault="00000000">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Asistencia al pasajero en destino.</w:t>
      </w:r>
    </w:p>
    <w:p w14:paraId="402FA145" w14:textId="77777777" w:rsidR="00D06B30" w:rsidRDefault="00000000">
      <w:pPr>
        <w:numPr>
          <w:ilvl w:val="0"/>
          <w:numId w:val="1"/>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Impuestos hoteleros</w:t>
      </w:r>
    </w:p>
    <w:p w14:paraId="7E4AB073" w14:textId="77777777" w:rsidR="00D06B30" w:rsidRDefault="00D06B30">
      <w:pPr>
        <w:rPr>
          <w:rFonts w:ascii="Arial" w:eastAsia="Arial" w:hAnsi="Arial" w:cs="Arial"/>
          <w:color w:val="000000"/>
          <w:sz w:val="20"/>
          <w:szCs w:val="20"/>
        </w:rPr>
      </w:pPr>
    </w:p>
    <w:p w14:paraId="12602A8F" w14:textId="77777777" w:rsidR="00D06B30" w:rsidRDefault="00D06B30">
      <w:pPr>
        <w:rPr>
          <w:rFonts w:ascii="Arial" w:eastAsia="Arial" w:hAnsi="Arial" w:cs="Arial"/>
          <w:sz w:val="18"/>
          <w:szCs w:val="18"/>
        </w:rPr>
      </w:pPr>
    </w:p>
    <w:p w14:paraId="0E4D7051" w14:textId="77777777" w:rsidR="00D06B30" w:rsidRDefault="00000000">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Precio por pasajero en USD:</w:t>
      </w:r>
    </w:p>
    <w:tbl>
      <w:tblPr>
        <w:tblW w:w="9310" w:type="dxa"/>
        <w:tblCellMar>
          <w:left w:w="70" w:type="dxa"/>
          <w:right w:w="70" w:type="dxa"/>
        </w:tblCellMar>
        <w:tblLook w:val="04A0" w:firstRow="1" w:lastRow="0" w:firstColumn="1" w:lastColumn="0" w:noHBand="0" w:noVBand="1"/>
      </w:tblPr>
      <w:tblGrid>
        <w:gridCol w:w="3580"/>
        <w:gridCol w:w="580"/>
        <w:gridCol w:w="460"/>
        <w:gridCol w:w="580"/>
        <w:gridCol w:w="460"/>
        <w:gridCol w:w="580"/>
        <w:gridCol w:w="475"/>
        <w:gridCol w:w="580"/>
        <w:gridCol w:w="475"/>
        <w:gridCol w:w="1540"/>
      </w:tblGrid>
      <w:tr w:rsidR="005D16DB" w14:paraId="7B9E056B" w14:textId="77777777" w:rsidTr="005D16DB">
        <w:trPr>
          <w:trHeight w:val="255"/>
        </w:trPr>
        <w:tc>
          <w:tcPr>
            <w:tcW w:w="3580" w:type="dxa"/>
            <w:tcBorders>
              <w:top w:val="single" w:sz="4" w:space="0" w:color="FFFFFF"/>
              <w:left w:val="single" w:sz="4" w:space="0" w:color="FFFFFF"/>
              <w:bottom w:val="nil"/>
              <w:right w:val="single" w:sz="4" w:space="0" w:color="FFFFFF"/>
            </w:tcBorders>
            <w:shd w:val="clear" w:color="0066CC" w:fill="0066CC"/>
            <w:noWrap/>
            <w:vAlign w:val="center"/>
            <w:hideMark/>
          </w:tcPr>
          <w:p w14:paraId="4CC1BF36"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Hotel</w:t>
            </w:r>
          </w:p>
        </w:tc>
        <w:tc>
          <w:tcPr>
            <w:tcW w:w="580" w:type="dxa"/>
            <w:tcBorders>
              <w:top w:val="single" w:sz="4" w:space="0" w:color="FFFFFF"/>
              <w:left w:val="nil"/>
              <w:bottom w:val="nil"/>
              <w:right w:val="single" w:sz="4" w:space="0" w:color="FFFFFF"/>
            </w:tcBorders>
            <w:shd w:val="clear" w:color="0066CC" w:fill="0066CC"/>
            <w:noWrap/>
            <w:vAlign w:val="center"/>
            <w:hideMark/>
          </w:tcPr>
          <w:p w14:paraId="3FD149AB"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 xml:space="preserve"> SGL</w:t>
            </w:r>
          </w:p>
        </w:tc>
        <w:tc>
          <w:tcPr>
            <w:tcW w:w="460" w:type="dxa"/>
            <w:tcBorders>
              <w:top w:val="single" w:sz="4" w:space="0" w:color="FFFFFF"/>
              <w:left w:val="nil"/>
              <w:bottom w:val="nil"/>
              <w:right w:val="single" w:sz="4" w:space="0" w:color="FFFFFF"/>
            </w:tcBorders>
            <w:shd w:val="clear" w:color="0066CC" w:fill="0066CC"/>
            <w:noWrap/>
            <w:vAlign w:val="center"/>
            <w:hideMark/>
          </w:tcPr>
          <w:p w14:paraId="5B03F0CC"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4139AD7B"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DBL</w:t>
            </w:r>
          </w:p>
        </w:tc>
        <w:tc>
          <w:tcPr>
            <w:tcW w:w="460" w:type="dxa"/>
            <w:tcBorders>
              <w:top w:val="single" w:sz="4" w:space="0" w:color="FFFFFF"/>
              <w:left w:val="nil"/>
              <w:bottom w:val="nil"/>
              <w:right w:val="single" w:sz="4" w:space="0" w:color="FFFFFF"/>
            </w:tcBorders>
            <w:shd w:val="clear" w:color="0066CC" w:fill="0066CC"/>
            <w:noWrap/>
            <w:vAlign w:val="center"/>
            <w:hideMark/>
          </w:tcPr>
          <w:p w14:paraId="5CC12CAF"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79DC3014"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TPL</w:t>
            </w:r>
          </w:p>
        </w:tc>
        <w:tc>
          <w:tcPr>
            <w:tcW w:w="475" w:type="dxa"/>
            <w:tcBorders>
              <w:top w:val="single" w:sz="4" w:space="0" w:color="FFFFFF"/>
              <w:left w:val="nil"/>
              <w:bottom w:val="nil"/>
              <w:right w:val="single" w:sz="4" w:space="0" w:color="FFFFFF"/>
            </w:tcBorders>
            <w:shd w:val="clear" w:color="0066CC" w:fill="0066CC"/>
            <w:noWrap/>
            <w:vAlign w:val="center"/>
            <w:hideMark/>
          </w:tcPr>
          <w:p w14:paraId="0F2D6ECC"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5D00416E"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Chd</w:t>
            </w:r>
          </w:p>
        </w:tc>
        <w:tc>
          <w:tcPr>
            <w:tcW w:w="475" w:type="dxa"/>
            <w:tcBorders>
              <w:top w:val="single" w:sz="4" w:space="0" w:color="FFFFFF"/>
              <w:left w:val="nil"/>
              <w:bottom w:val="nil"/>
              <w:right w:val="single" w:sz="4" w:space="0" w:color="FFFFFF"/>
            </w:tcBorders>
            <w:shd w:val="clear" w:color="0066CC" w:fill="0066CC"/>
            <w:noWrap/>
            <w:vAlign w:val="center"/>
            <w:hideMark/>
          </w:tcPr>
          <w:p w14:paraId="6DDAF113"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na</w:t>
            </w:r>
          </w:p>
        </w:tc>
        <w:tc>
          <w:tcPr>
            <w:tcW w:w="1540" w:type="dxa"/>
            <w:tcBorders>
              <w:top w:val="single" w:sz="4" w:space="0" w:color="FFFFFF"/>
              <w:left w:val="nil"/>
              <w:bottom w:val="nil"/>
              <w:right w:val="single" w:sz="4" w:space="0" w:color="FFFFFF"/>
            </w:tcBorders>
            <w:shd w:val="clear" w:color="0066CC" w:fill="0066CC"/>
            <w:noWrap/>
            <w:vAlign w:val="center"/>
            <w:hideMark/>
          </w:tcPr>
          <w:p w14:paraId="035F571F" w14:textId="77777777" w:rsidR="005D16DB" w:rsidRDefault="005D16DB">
            <w:pPr>
              <w:jc w:val="center"/>
              <w:rPr>
                <w:rFonts w:ascii="Arial" w:hAnsi="Arial" w:cs="Arial"/>
                <w:b/>
                <w:bCs/>
                <w:color w:val="FFFFFF"/>
                <w:sz w:val="16"/>
                <w:szCs w:val="16"/>
              </w:rPr>
            </w:pPr>
            <w:r>
              <w:rPr>
                <w:rFonts w:ascii="Arial" w:hAnsi="Arial" w:cs="Arial"/>
                <w:b/>
                <w:bCs/>
                <w:color w:val="FFFFFF"/>
                <w:sz w:val="16"/>
                <w:szCs w:val="16"/>
              </w:rPr>
              <w:t xml:space="preserve">Vigencia </w:t>
            </w:r>
          </w:p>
        </w:tc>
      </w:tr>
      <w:tr w:rsidR="005D16DB" w14:paraId="33332157" w14:textId="77777777" w:rsidTr="005D16DB">
        <w:trPr>
          <w:trHeight w:val="315"/>
        </w:trPr>
        <w:tc>
          <w:tcPr>
            <w:tcW w:w="3580" w:type="dxa"/>
            <w:tcBorders>
              <w:top w:val="single" w:sz="4" w:space="0" w:color="0070C0"/>
              <w:left w:val="single" w:sz="4" w:space="0" w:color="0070C0"/>
              <w:bottom w:val="single" w:sz="4" w:space="0" w:color="0070C0"/>
              <w:right w:val="single" w:sz="4" w:space="0" w:color="0070C0"/>
            </w:tcBorders>
            <w:noWrap/>
            <w:vAlign w:val="center"/>
            <w:hideMark/>
          </w:tcPr>
          <w:p w14:paraId="7842CCCF" w14:textId="77777777" w:rsidR="005D16DB" w:rsidRDefault="005D16DB">
            <w:pPr>
              <w:jc w:val="center"/>
              <w:rPr>
                <w:rFonts w:ascii="Arial" w:hAnsi="Arial" w:cs="Arial"/>
                <w:b/>
                <w:bCs/>
                <w:color w:val="000000"/>
                <w:sz w:val="18"/>
                <w:szCs w:val="18"/>
              </w:rPr>
            </w:pPr>
            <w:r>
              <w:rPr>
                <w:rFonts w:ascii="Arial" w:hAnsi="Arial" w:cs="Arial"/>
                <w:b/>
                <w:bCs/>
                <w:color w:val="000000"/>
                <w:sz w:val="18"/>
                <w:szCs w:val="18"/>
              </w:rPr>
              <w:t>Iberostar Selection Ensenachos (1)</w:t>
            </w:r>
          </w:p>
        </w:tc>
        <w:tc>
          <w:tcPr>
            <w:tcW w:w="580" w:type="dxa"/>
            <w:tcBorders>
              <w:top w:val="single" w:sz="4" w:space="0" w:color="0070C0"/>
              <w:left w:val="nil"/>
              <w:bottom w:val="single" w:sz="4" w:space="0" w:color="0070C0"/>
              <w:right w:val="single" w:sz="4" w:space="0" w:color="0070C0"/>
            </w:tcBorders>
            <w:noWrap/>
            <w:vAlign w:val="center"/>
            <w:hideMark/>
          </w:tcPr>
          <w:p w14:paraId="35B81377" w14:textId="77777777" w:rsidR="005D16DB" w:rsidRDefault="005D16DB">
            <w:pPr>
              <w:jc w:val="center"/>
              <w:rPr>
                <w:rFonts w:ascii="Arial" w:hAnsi="Arial" w:cs="Arial"/>
                <w:b/>
                <w:bCs/>
                <w:color w:val="000000"/>
                <w:sz w:val="18"/>
                <w:szCs w:val="18"/>
              </w:rPr>
            </w:pPr>
            <w:r>
              <w:rPr>
                <w:rFonts w:ascii="Arial" w:hAnsi="Arial" w:cs="Arial"/>
                <w:b/>
                <w:bCs/>
                <w:color w:val="000000"/>
                <w:sz w:val="18"/>
                <w:szCs w:val="18"/>
              </w:rPr>
              <w:t>247</w:t>
            </w:r>
          </w:p>
        </w:tc>
        <w:tc>
          <w:tcPr>
            <w:tcW w:w="460" w:type="dxa"/>
            <w:tcBorders>
              <w:top w:val="single" w:sz="4" w:space="0" w:color="0070C0"/>
              <w:left w:val="nil"/>
              <w:bottom w:val="single" w:sz="4" w:space="0" w:color="0070C0"/>
              <w:right w:val="single" w:sz="4" w:space="0" w:color="0070C0"/>
            </w:tcBorders>
            <w:noWrap/>
            <w:vAlign w:val="center"/>
            <w:hideMark/>
          </w:tcPr>
          <w:p w14:paraId="71CF9637" w14:textId="77777777" w:rsidR="005D16DB" w:rsidRDefault="005D16DB">
            <w:pPr>
              <w:jc w:val="center"/>
              <w:rPr>
                <w:rFonts w:ascii="Arial" w:hAnsi="Arial" w:cs="Arial"/>
                <w:color w:val="000000"/>
                <w:sz w:val="16"/>
                <w:szCs w:val="16"/>
              </w:rPr>
            </w:pPr>
            <w:r>
              <w:rPr>
                <w:rFonts w:ascii="Arial" w:hAnsi="Arial" w:cs="Arial"/>
                <w:color w:val="000000"/>
                <w:sz w:val="16"/>
                <w:szCs w:val="16"/>
              </w:rPr>
              <w:t>135</w:t>
            </w:r>
          </w:p>
        </w:tc>
        <w:tc>
          <w:tcPr>
            <w:tcW w:w="580" w:type="dxa"/>
            <w:tcBorders>
              <w:top w:val="single" w:sz="4" w:space="0" w:color="0070C0"/>
              <w:left w:val="nil"/>
              <w:bottom w:val="single" w:sz="4" w:space="0" w:color="0070C0"/>
              <w:right w:val="single" w:sz="4" w:space="0" w:color="0070C0"/>
            </w:tcBorders>
            <w:noWrap/>
            <w:vAlign w:val="center"/>
            <w:hideMark/>
          </w:tcPr>
          <w:p w14:paraId="43C2C1F4" w14:textId="77777777" w:rsidR="005D16DB" w:rsidRDefault="005D16DB">
            <w:pPr>
              <w:jc w:val="center"/>
              <w:rPr>
                <w:rFonts w:ascii="Arial" w:hAnsi="Arial" w:cs="Arial"/>
                <w:b/>
                <w:bCs/>
                <w:color w:val="000000"/>
                <w:sz w:val="18"/>
                <w:szCs w:val="18"/>
              </w:rPr>
            </w:pPr>
            <w:r>
              <w:rPr>
                <w:rFonts w:ascii="Arial" w:hAnsi="Arial" w:cs="Arial"/>
                <w:b/>
                <w:bCs/>
                <w:color w:val="000000"/>
                <w:sz w:val="18"/>
                <w:szCs w:val="18"/>
              </w:rPr>
              <w:t>191</w:t>
            </w:r>
          </w:p>
        </w:tc>
        <w:tc>
          <w:tcPr>
            <w:tcW w:w="460" w:type="dxa"/>
            <w:tcBorders>
              <w:top w:val="single" w:sz="4" w:space="0" w:color="0070C0"/>
              <w:left w:val="nil"/>
              <w:bottom w:val="single" w:sz="4" w:space="0" w:color="0070C0"/>
              <w:right w:val="single" w:sz="4" w:space="0" w:color="0070C0"/>
            </w:tcBorders>
            <w:noWrap/>
            <w:vAlign w:val="center"/>
            <w:hideMark/>
          </w:tcPr>
          <w:p w14:paraId="21977ECA" w14:textId="77777777" w:rsidR="005D16DB" w:rsidRDefault="005D16DB">
            <w:pPr>
              <w:jc w:val="center"/>
              <w:rPr>
                <w:rFonts w:ascii="Arial" w:hAnsi="Arial" w:cs="Arial"/>
                <w:color w:val="000000"/>
                <w:sz w:val="16"/>
                <w:szCs w:val="16"/>
              </w:rPr>
            </w:pPr>
            <w:r>
              <w:rPr>
                <w:rFonts w:ascii="Arial" w:hAnsi="Arial" w:cs="Arial"/>
                <w:color w:val="000000"/>
                <w:sz w:val="16"/>
                <w:szCs w:val="16"/>
              </w:rPr>
              <w:t>100</w:t>
            </w:r>
          </w:p>
        </w:tc>
        <w:tc>
          <w:tcPr>
            <w:tcW w:w="580" w:type="dxa"/>
            <w:tcBorders>
              <w:top w:val="single" w:sz="4" w:space="0" w:color="0070C0"/>
              <w:left w:val="nil"/>
              <w:bottom w:val="single" w:sz="4" w:space="0" w:color="0070C0"/>
              <w:right w:val="single" w:sz="4" w:space="0" w:color="0070C0"/>
            </w:tcBorders>
            <w:noWrap/>
            <w:vAlign w:val="center"/>
            <w:hideMark/>
          </w:tcPr>
          <w:p w14:paraId="4BE7DA5B" w14:textId="77777777" w:rsidR="005D16DB" w:rsidRDefault="005D16DB">
            <w:pPr>
              <w:jc w:val="center"/>
              <w:rPr>
                <w:rFonts w:ascii="Arial" w:hAnsi="Arial" w:cs="Arial"/>
                <w:b/>
                <w:bCs/>
                <w:color w:val="000000"/>
                <w:sz w:val="18"/>
                <w:szCs w:val="18"/>
              </w:rPr>
            </w:pPr>
            <w:r>
              <w:rPr>
                <w:rFonts w:ascii="Arial" w:hAnsi="Arial" w:cs="Arial"/>
                <w:b/>
                <w:bCs/>
                <w:color w:val="000000"/>
                <w:sz w:val="18"/>
                <w:szCs w:val="18"/>
              </w:rPr>
              <w:t>178</w:t>
            </w:r>
          </w:p>
        </w:tc>
        <w:tc>
          <w:tcPr>
            <w:tcW w:w="475" w:type="dxa"/>
            <w:tcBorders>
              <w:top w:val="single" w:sz="4" w:space="0" w:color="0070C0"/>
              <w:left w:val="nil"/>
              <w:bottom w:val="single" w:sz="4" w:space="0" w:color="0070C0"/>
              <w:right w:val="single" w:sz="4" w:space="0" w:color="0070C0"/>
            </w:tcBorders>
            <w:noWrap/>
            <w:vAlign w:val="center"/>
            <w:hideMark/>
          </w:tcPr>
          <w:p w14:paraId="18B0C022" w14:textId="77777777" w:rsidR="005D16DB" w:rsidRDefault="005D16DB">
            <w:pPr>
              <w:jc w:val="center"/>
              <w:rPr>
                <w:rFonts w:ascii="Arial" w:hAnsi="Arial" w:cs="Arial"/>
                <w:color w:val="000000"/>
                <w:sz w:val="16"/>
                <w:szCs w:val="16"/>
              </w:rPr>
            </w:pPr>
            <w:r>
              <w:rPr>
                <w:rFonts w:ascii="Arial" w:hAnsi="Arial" w:cs="Arial"/>
                <w:color w:val="000000"/>
                <w:sz w:val="16"/>
                <w:szCs w:val="16"/>
              </w:rPr>
              <w:t>92</w:t>
            </w:r>
          </w:p>
        </w:tc>
        <w:tc>
          <w:tcPr>
            <w:tcW w:w="580" w:type="dxa"/>
            <w:tcBorders>
              <w:top w:val="single" w:sz="4" w:space="0" w:color="0070C0"/>
              <w:left w:val="nil"/>
              <w:bottom w:val="single" w:sz="4" w:space="0" w:color="0070C0"/>
              <w:right w:val="single" w:sz="4" w:space="0" w:color="0070C0"/>
            </w:tcBorders>
            <w:noWrap/>
            <w:vAlign w:val="center"/>
            <w:hideMark/>
          </w:tcPr>
          <w:p w14:paraId="4FC7A17B" w14:textId="77777777" w:rsidR="005D16DB" w:rsidRDefault="005D16DB">
            <w:pPr>
              <w:jc w:val="center"/>
              <w:rPr>
                <w:rFonts w:ascii="Arial" w:hAnsi="Arial" w:cs="Arial"/>
                <w:b/>
                <w:bCs/>
                <w:color w:val="000000"/>
                <w:sz w:val="18"/>
                <w:szCs w:val="18"/>
              </w:rPr>
            </w:pPr>
            <w:r>
              <w:rPr>
                <w:rFonts w:ascii="Arial" w:hAnsi="Arial" w:cs="Arial"/>
                <w:b/>
                <w:bCs/>
                <w:color w:val="000000"/>
                <w:sz w:val="18"/>
                <w:szCs w:val="18"/>
              </w:rPr>
              <w:t>94</w:t>
            </w:r>
          </w:p>
        </w:tc>
        <w:tc>
          <w:tcPr>
            <w:tcW w:w="475" w:type="dxa"/>
            <w:tcBorders>
              <w:top w:val="single" w:sz="4" w:space="0" w:color="0070C0"/>
              <w:left w:val="nil"/>
              <w:bottom w:val="single" w:sz="4" w:space="0" w:color="0070C0"/>
              <w:right w:val="single" w:sz="4" w:space="0" w:color="0070C0"/>
            </w:tcBorders>
            <w:noWrap/>
            <w:vAlign w:val="center"/>
            <w:hideMark/>
          </w:tcPr>
          <w:p w14:paraId="388AD050" w14:textId="77777777" w:rsidR="005D16DB" w:rsidRDefault="005D16DB">
            <w:pPr>
              <w:jc w:val="center"/>
              <w:rPr>
                <w:rFonts w:ascii="Arial" w:hAnsi="Arial" w:cs="Arial"/>
                <w:color w:val="000000"/>
                <w:sz w:val="16"/>
                <w:szCs w:val="16"/>
              </w:rPr>
            </w:pPr>
            <w:r>
              <w:rPr>
                <w:rFonts w:ascii="Arial" w:hAnsi="Arial" w:cs="Arial"/>
                <w:color w:val="000000"/>
                <w:sz w:val="16"/>
                <w:szCs w:val="16"/>
              </w:rPr>
              <w:t>50</w:t>
            </w:r>
          </w:p>
        </w:tc>
        <w:tc>
          <w:tcPr>
            <w:tcW w:w="1540" w:type="dxa"/>
            <w:tcBorders>
              <w:top w:val="single" w:sz="4" w:space="0" w:color="0070C0"/>
              <w:left w:val="nil"/>
              <w:bottom w:val="single" w:sz="4" w:space="0" w:color="0070C0"/>
              <w:right w:val="single" w:sz="4" w:space="0" w:color="0070C0"/>
            </w:tcBorders>
            <w:noWrap/>
            <w:vAlign w:val="center"/>
            <w:hideMark/>
          </w:tcPr>
          <w:p w14:paraId="406664BB" w14:textId="77777777" w:rsidR="005D16DB" w:rsidRDefault="005D16DB">
            <w:pPr>
              <w:jc w:val="center"/>
              <w:rPr>
                <w:rFonts w:ascii="Arial" w:hAnsi="Arial" w:cs="Arial"/>
                <w:color w:val="000000"/>
                <w:sz w:val="16"/>
                <w:szCs w:val="16"/>
              </w:rPr>
            </w:pPr>
            <w:r>
              <w:rPr>
                <w:rFonts w:ascii="Arial" w:hAnsi="Arial" w:cs="Arial"/>
                <w:color w:val="000000"/>
                <w:sz w:val="16"/>
                <w:szCs w:val="16"/>
              </w:rPr>
              <w:t>Abr 01 - Abr 30</w:t>
            </w:r>
          </w:p>
        </w:tc>
      </w:tr>
      <w:tr w:rsidR="005D16DB" w14:paraId="263EFCEC" w14:textId="77777777" w:rsidTr="005D16DB">
        <w:trPr>
          <w:trHeight w:val="315"/>
        </w:trPr>
        <w:tc>
          <w:tcPr>
            <w:tcW w:w="3580" w:type="dxa"/>
            <w:tcBorders>
              <w:top w:val="nil"/>
              <w:left w:val="single" w:sz="4" w:space="0" w:color="0070C0"/>
              <w:bottom w:val="single" w:sz="4" w:space="0" w:color="0070C0"/>
              <w:right w:val="single" w:sz="4" w:space="0" w:color="0070C0"/>
            </w:tcBorders>
            <w:noWrap/>
            <w:vAlign w:val="center"/>
            <w:hideMark/>
          </w:tcPr>
          <w:p w14:paraId="4B92E46A" w14:textId="77777777" w:rsidR="005D16DB" w:rsidRDefault="005D16DB">
            <w:pPr>
              <w:jc w:val="center"/>
              <w:rPr>
                <w:rFonts w:ascii="Arial" w:hAnsi="Arial" w:cs="Arial"/>
                <w:b/>
                <w:bCs/>
                <w:color w:val="000000"/>
                <w:sz w:val="18"/>
                <w:szCs w:val="18"/>
              </w:rPr>
            </w:pPr>
            <w:r>
              <w:rPr>
                <w:rFonts w:ascii="Arial" w:hAnsi="Arial" w:cs="Arial"/>
                <w:b/>
                <w:bCs/>
                <w:color w:val="000000"/>
                <w:sz w:val="18"/>
                <w:szCs w:val="18"/>
              </w:rPr>
              <w:t>Iberostar Coral Ensenachos (1)</w:t>
            </w:r>
          </w:p>
        </w:tc>
        <w:tc>
          <w:tcPr>
            <w:tcW w:w="580" w:type="dxa"/>
            <w:tcBorders>
              <w:top w:val="nil"/>
              <w:left w:val="nil"/>
              <w:bottom w:val="single" w:sz="4" w:space="0" w:color="0070C0"/>
              <w:right w:val="single" w:sz="4" w:space="0" w:color="0070C0"/>
            </w:tcBorders>
            <w:noWrap/>
            <w:vAlign w:val="center"/>
            <w:hideMark/>
          </w:tcPr>
          <w:p w14:paraId="5D51A03B" w14:textId="77777777" w:rsidR="005D16DB" w:rsidRDefault="005D16DB">
            <w:pPr>
              <w:jc w:val="center"/>
              <w:rPr>
                <w:rFonts w:ascii="Arial" w:hAnsi="Arial" w:cs="Arial"/>
                <w:b/>
                <w:bCs/>
                <w:color w:val="000000"/>
                <w:sz w:val="18"/>
                <w:szCs w:val="18"/>
              </w:rPr>
            </w:pPr>
            <w:r>
              <w:rPr>
                <w:rFonts w:ascii="Arial" w:hAnsi="Arial" w:cs="Arial"/>
                <w:b/>
                <w:bCs/>
                <w:color w:val="000000"/>
                <w:sz w:val="18"/>
                <w:szCs w:val="18"/>
              </w:rPr>
              <w:t>453</w:t>
            </w:r>
          </w:p>
        </w:tc>
        <w:tc>
          <w:tcPr>
            <w:tcW w:w="460" w:type="dxa"/>
            <w:tcBorders>
              <w:top w:val="nil"/>
              <w:left w:val="nil"/>
              <w:bottom w:val="single" w:sz="4" w:space="0" w:color="0070C0"/>
              <w:right w:val="single" w:sz="4" w:space="0" w:color="0070C0"/>
            </w:tcBorders>
            <w:noWrap/>
            <w:vAlign w:val="center"/>
            <w:hideMark/>
          </w:tcPr>
          <w:p w14:paraId="1F7CDC97" w14:textId="77777777" w:rsidR="005D16DB" w:rsidRDefault="005D16DB">
            <w:pPr>
              <w:jc w:val="center"/>
              <w:rPr>
                <w:rFonts w:ascii="Arial" w:hAnsi="Arial" w:cs="Arial"/>
                <w:color w:val="000000"/>
                <w:sz w:val="16"/>
                <w:szCs w:val="16"/>
              </w:rPr>
            </w:pPr>
            <w:r>
              <w:rPr>
                <w:rFonts w:ascii="Arial" w:hAnsi="Arial" w:cs="Arial"/>
                <w:color w:val="000000"/>
                <w:sz w:val="16"/>
                <w:szCs w:val="16"/>
              </w:rPr>
              <w:t>206</w:t>
            </w:r>
          </w:p>
        </w:tc>
        <w:tc>
          <w:tcPr>
            <w:tcW w:w="580" w:type="dxa"/>
            <w:tcBorders>
              <w:top w:val="nil"/>
              <w:left w:val="nil"/>
              <w:bottom w:val="single" w:sz="4" w:space="0" w:color="0070C0"/>
              <w:right w:val="single" w:sz="4" w:space="0" w:color="0070C0"/>
            </w:tcBorders>
            <w:noWrap/>
            <w:vAlign w:val="center"/>
            <w:hideMark/>
          </w:tcPr>
          <w:p w14:paraId="14274894" w14:textId="77777777" w:rsidR="005D16DB" w:rsidRDefault="005D16DB">
            <w:pPr>
              <w:jc w:val="center"/>
              <w:rPr>
                <w:rFonts w:ascii="Arial" w:hAnsi="Arial" w:cs="Arial"/>
                <w:b/>
                <w:bCs/>
                <w:color w:val="000000"/>
                <w:sz w:val="18"/>
                <w:szCs w:val="18"/>
              </w:rPr>
            </w:pPr>
            <w:r>
              <w:rPr>
                <w:rFonts w:ascii="Arial" w:hAnsi="Arial" w:cs="Arial"/>
                <w:b/>
                <w:bCs/>
                <w:color w:val="000000"/>
                <w:sz w:val="18"/>
                <w:szCs w:val="18"/>
              </w:rPr>
              <w:t>312</w:t>
            </w:r>
          </w:p>
        </w:tc>
        <w:tc>
          <w:tcPr>
            <w:tcW w:w="460" w:type="dxa"/>
            <w:tcBorders>
              <w:top w:val="nil"/>
              <w:left w:val="nil"/>
              <w:bottom w:val="single" w:sz="4" w:space="0" w:color="0070C0"/>
              <w:right w:val="single" w:sz="4" w:space="0" w:color="0070C0"/>
            </w:tcBorders>
            <w:noWrap/>
            <w:vAlign w:val="center"/>
            <w:hideMark/>
          </w:tcPr>
          <w:p w14:paraId="42180053" w14:textId="77777777" w:rsidR="005D16DB" w:rsidRDefault="005D16DB">
            <w:pPr>
              <w:jc w:val="center"/>
              <w:rPr>
                <w:rFonts w:ascii="Arial" w:hAnsi="Arial" w:cs="Arial"/>
                <w:color w:val="000000"/>
                <w:sz w:val="16"/>
                <w:szCs w:val="16"/>
              </w:rPr>
            </w:pPr>
            <w:r>
              <w:rPr>
                <w:rFonts w:ascii="Arial" w:hAnsi="Arial" w:cs="Arial"/>
                <w:color w:val="000000"/>
                <w:sz w:val="16"/>
                <w:szCs w:val="16"/>
              </w:rPr>
              <w:t>138</w:t>
            </w:r>
          </w:p>
        </w:tc>
        <w:tc>
          <w:tcPr>
            <w:tcW w:w="580" w:type="dxa"/>
            <w:tcBorders>
              <w:top w:val="nil"/>
              <w:left w:val="nil"/>
              <w:bottom w:val="single" w:sz="4" w:space="0" w:color="0070C0"/>
              <w:right w:val="single" w:sz="4" w:space="0" w:color="0070C0"/>
            </w:tcBorders>
            <w:noWrap/>
            <w:vAlign w:val="center"/>
            <w:hideMark/>
          </w:tcPr>
          <w:p w14:paraId="2DD15096" w14:textId="749A0084" w:rsidR="005D16DB" w:rsidRDefault="005D16DB">
            <w:pPr>
              <w:jc w:val="center"/>
              <w:rPr>
                <w:rFonts w:ascii="Arial" w:hAnsi="Arial" w:cs="Arial"/>
                <w:b/>
                <w:bCs/>
                <w:color w:val="000000"/>
                <w:sz w:val="18"/>
                <w:szCs w:val="18"/>
              </w:rPr>
            </w:pPr>
            <w:r>
              <w:rPr>
                <w:rFonts w:ascii="Arial" w:hAnsi="Arial" w:cs="Arial"/>
                <w:b/>
                <w:bCs/>
                <w:color w:val="000000"/>
                <w:sz w:val="18"/>
                <w:szCs w:val="18"/>
              </w:rPr>
              <w:t>---</w:t>
            </w:r>
          </w:p>
        </w:tc>
        <w:tc>
          <w:tcPr>
            <w:tcW w:w="475" w:type="dxa"/>
            <w:tcBorders>
              <w:top w:val="nil"/>
              <w:left w:val="nil"/>
              <w:bottom w:val="single" w:sz="4" w:space="0" w:color="0070C0"/>
              <w:right w:val="single" w:sz="4" w:space="0" w:color="0070C0"/>
            </w:tcBorders>
            <w:noWrap/>
            <w:vAlign w:val="center"/>
            <w:hideMark/>
          </w:tcPr>
          <w:p w14:paraId="520D5B90" w14:textId="16D745A0" w:rsidR="005D16DB" w:rsidRDefault="005D16DB">
            <w:pPr>
              <w:jc w:val="center"/>
              <w:rPr>
                <w:rFonts w:ascii="Arial" w:hAnsi="Arial" w:cs="Arial"/>
                <w:color w:val="000000"/>
                <w:sz w:val="16"/>
                <w:szCs w:val="16"/>
              </w:rPr>
            </w:pPr>
            <w:r>
              <w:rPr>
                <w:rFonts w:ascii="Arial" w:hAnsi="Arial" w:cs="Arial"/>
                <w:color w:val="000000"/>
                <w:sz w:val="16"/>
                <w:szCs w:val="16"/>
              </w:rPr>
              <w:t>--</w:t>
            </w:r>
          </w:p>
        </w:tc>
        <w:tc>
          <w:tcPr>
            <w:tcW w:w="580" w:type="dxa"/>
            <w:tcBorders>
              <w:top w:val="nil"/>
              <w:left w:val="nil"/>
              <w:bottom w:val="single" w:sz="4" w:space="0" w:color="0070C0"/>
              <w:right w:val="single" w:sz="4" w:space="0" w:color="0070C0"/>
            </w:tcBorders>
            <w:noWrap/>
            <w:vAlign w:val="center"/>
            <w:hideMark/>
          </w:tcPr>
          <w:p w14:paraId="657E91AE" w14:textId="08E3807D" w:rsidR="005D16DB" w:rsidRDefault="005D16DB">
            <w:pPr>
              <w:jc w:val="center"/>
              <w:rPr>
                <w:rFonts w:ascii="Arial" w:hAnsi="Arial" w:cs="Arial"/>
                <w:b/>
                <w:bCs/>
                <w:color w:val="000000"/>
                <w:sz w:val="18"/>
                <w:szCs w:val="18"/>
              </w:rPr>
            </w:pPr>
            <w:r>
              <w:rPr>
                <w:rFonts w:ascii="Arial" w:hAnsi="Arial" w:cs="Arial"/>
                <w:b/>
                <w:bCs/>
                <w:color w:val="000000"/>
                <w:sz w:val="18"/>
                <w:szCs w:val="18"/>
              </w:rPr>
              <w:t>---</w:t>
            </w:r>
          </w:p>
        </w:tc>
        <w:tc>
          <w:tcPr>
            <w:tcW w:w="475" w:type="dxa"/>
            <w:tcBorders>
              <w:top w:val="nil"/>
              <w:left w:val="nil"/>
              <w:bottom w:val="single" w:sz="4" w:space="0" w:color="0070C0"/>
              <w:right w:val="single" w:sz="4" w:space="0" w:color="0070C0"/>
            </w:tcBorders>
            <w:noWrap/>
            <w:vAlign w:val="center"/>
            <w:hideMark/>
          </w:tcPr>
          <w:p w14:paraId="43A7AF68" w14:textId="7EF44C8D" w:rsidR="005D16DB" w:rsidRDefault="005D16DB">
            <w:pPr>
              <w:jc w:val="center"/>
              <w:rPr>
                <w:rFonts w:ascii="Arial" w:hAnsi="Arial" w:cs="Arial"/>
                <w:color w:val="000000"/>
                <w:sz w:val="16"/>
                <w:szCs w:val="16"/>
              </w:rPr>
            </w:pPr>
            <w:r>
              <w:rPr>
                <w:rFonts w:ascii="Arial" w:hAnsi="Arial" w:cs="Arial"/>
                <w:color w:val="000000"/>
                <w:sz w:val="16"/>
                <w:szCs w:val="16"/>
              </w:rPr>
              <w:t>--</w:t>
            </w:r>
          </w:p>
        </w:tc>
        <w:tc>
          <w:tcPr>
            <w:tcW w:w="1540" w:type="dxa"/>
            <w:tcBorders>
              <w:top w:val="nil"/>
              <w:left w:val="nil"/>
              <w:bottom w:val="single" w:sz="4" w:space="0" w:color="0070C0"/>
              <w:right w:val="single" w:sz="4" w:space="0" w:color="0070C0"/>
            </w:tcBorders>
            <w:noWrap/>
            <w:vAlign w:val="center"/>
            <w:hideMark/>
          </w:tcPr>
          <w:p w14:paraId="1300F18A" w14:textId="77777777" w:rsidR="005D16DB" w:rsidRDefault="005D16DB">
            <w:pPr>
              <w:jc w:val="center"/>
              <w:rPr>
                <w:rFonts w:ascii="Arial" w:hAnsi="Arial" w:cs="Arial"/>
                <w:color w:val="000000"/>
                <w:sz w:val="16"/>
                <w:szCs w:val="16"/>
              </w:rPr>
            </w:pPr>
            <w:r>
              <w:rPr>
                <w:rFonts w:ascii="Arial" w:hAnsi="Arial" w:cs="Arial"/>
                <w:color w:val="000000"/>
                <w:sz w:val="16"/>
                <w:szCs w:val="16"/>
              </w:rPr>
              <w:t>Abr 01 - Abr 30</w:t>
            </w:r>
          </w:p>
        </w:tc>
      </w:tr>
    </w:tbl>
    <w:p w14:paraId="5532E7F2" w14:textId="77777777" w:rsidR="00D06B30" w:rsidRDefault="00D06B30">
      <w:pPr>
        <w:pBdr>
          <w:top w:val="nil"/>
          <w:left w:val="nil"/>
          <w:bottom w:val="nil"/>
          <w:right w:val="nil"/>
          <w:between w:val="nil"/>
        </w:pBdr>
        <w:rPr>
          <w:rFonts w:ascii="Arial" w:eastAsia="Arial" w:hAnsi="Arial" w:cs="Arial"/>
          <w:color w:val="000000"/>
          <w:sz w:val="18"/>
          <w:szCs w:val="18"/>
        </w:rPr>
      </w:pPr>
    </w:p>
    <w:p w14:paraId="1CF92142" w14:textId="77777777" w:rsidR="00D06B30" w:rsidRDefault="00000000">
      <w:pPr>
        <w:pBdr>
          <w:top w:val="nil"/>
          <w:left w:val="nil"/>
          <w:bottom w:val="nil"/>
          <w:right w:val="nil"/>
          <w:between w:val="nil"/>
        </w:pBdr>
        <w:rPr>
          <w:rFonts w:ascii="Arial" w:eastAsia="Arial" w:hAnsi="Arial" w:cs="Arial"/>
          <w:color w:val="E36C0A"/>
          <w:sz w:val="20"/>
          <w:szCs w:val="20"/>
        </w:rPr>
      </w:pPr>
      <w:r>
        <w:rPr>
          <w:rFonts w:ascii="Arial" w:eastAsia="Arial" w:hAnsi="Arial" w:cs="Arial"/>
          <w:b/>
          <w:bCs/>
          <w:color w:val="E36C0A"/>
          <w:sz w:val="20"/>
          <w:szCs w:val="20"/>
        </w:rPr>
        <w:t>Información General:</w:t>
      </w:r>
    </w:p>
    <w:p w14:paraId="1C7D9B80" w14:textId="77777777" w:rsidR="00D06B30" w:rsidRDefault="00000000">
      <w:pPr>
        <w:numPr>
          <w:ilvl w:val="0"/>
          <w:numId w:val="2"/>
        </w:numPr>
        <w:jc w:val="both"/>
        <w:rPr>
          <w:rFonts w:ascii="Arial" w:eastAsia="Arial" w:hAnsi="Arial" w:cs="Arial"/>
          <w:sz w:val="20"/>
          <w:szCs w:val="20"/>
        </w:rPr>
      </w:pPr>
      <w:r>
        <w:rPr>
          <w:rFonts w:ascii="Arial" w:eastAsia="Arial" w:hAnsi="Arial" w:cs="Arial"/>
          <w:b/>
          <w:bCs/>
          <w:sz w:val="20"/>
          <w:szCs w:val="20"/>
        </w:rPr>
        <w:t>Iberostar Selection Ensenachos:</w:t>
      </w:r>
      <w:r>
        <w:rPr>
          <w:rFonts w:ascii="Arial" w:eastAsia="Arial" w:hAnsi="Arial" w:cs="Arial"/>
          <w:sz w:val="20"/>
          <w:szCs w:val="20"/>
        </w:rPr>
        <w:t xml:space="preserve"> Habitación Garden Suite / acomodación: 01 adt o 02 adts + 02 niños o 03 adts. La acomodación máxima es en camas existentes</w:t>
      </w:r>
    </w:p>
    <w:p w14:paraId="19C32BA9" w14:textId="77777777" w:rsidR="00D06B30" w:rsidRDefault="00000000">
      <w:pPr>
        <w:numPr>
          <w:ilvl w:val="0"/>
          <w:numId w:val="2"/>
        </w:numPr>
        <w:jc w:val="both"/>
        <w:rPr>
          <w:rFonts w:ascii="Arial" w:eastAsia="Arial" w:hAnsi="Arial" w:cs="Arial"/>
          <w:sz w:val="20"/>
          <w:szCs w:val="20"/>
        </w:rPr>
      </w:pPr>
      <w:r>
        <w:rPr>
          <w:rFonts w:ascii="Arial" w:eastAsia="Arial" w:hAnsi="Arial" w:cs="Arial"/>
          <w:b/>
          <w:bCs/>
          <w:sz w:val="20"/>
          <w:szCs w:val="20"/>
        </w:rPr>
        <w:t xml:space="preserve">Iberostar Coral Ensenachos: </w:t>
      </w:r>
      <w:r>
        <w:rPr>
          <w:rFonts w:ascii="Arial" w:eastAsia="Arial" w:hAnsi="Arial" w:cs="Arial"/>
          <w:sz w:val="20"/>
          <w:szCs w:val="20"/>
        </w:rPr>
        <w:t>Habitación Coral Village / acomodación: 01 adt o 02 adts. SOLO ADULTOS</w:t>
      </w:r>
    </w:p>
    <w:p w14:paraId="6F6EA1AC" w14:textId="77777777" w:rsidR="00D06B30" w:rsidRDefault="00000000">
      <w:pPr>
        <w:numPr>
          <w:ilvl w:val="0"/>
          <w:numId w:val="2"/>
        </w:numPr>
        <w:jc w:val="both"/>
        <w:rPr>
          <w:rFonts w:ascii="Arial" w:eastAsia="Arial" w:hAnsi="Arial" w:cs="Arial"/>
          <w:color w:val="C00000"/>
          <w:sz w:val="20"/>
          <w:szCs w:val="20"/>
        </w:rPr>
      </w:pPr>
      <w:r>
        <w:rPr>
          <w:rFonts w:ascii="Arial" w:eastAsia="Arial" w:hAnsi="Arial" w:cs="Arial"/>
          <w:b/>
          <w:bCs/>
          <w:color w:val="C00000"/>
          <w:sz w:val="20"/>
          <w:szCs w:val="20"/>
        </w:rPr>
        <w:t>Código de promoción "SPO" - Oferta MTT.251001.U.6259</w:t>
      </w:r>
    </w:p>
    <w:p w14:paraId="023D34EE" w14:textId="77777777" w:rsidR="00D06B30" w:rsidRDefault="00000000">
      <w:pPr>
        <w:numPr>
          <w:ilvl w:val="0"/>
          <w:numId w:val="2"/>
        </w:numPr>
        <w:jc w:val="both"/>
        <w:rPr>
          <w:rFonts w:ascii="Arial" w:eastAsia="Arial" w:hAnsi="Arial" w:cs="Arial"/>
          <w:sz w:val="20"/>
          <w:szCs w:val="20"/>
        </w:rPr>
      </w:pPr>
      <w:r>
        <w:rPr>
          <w:rFonts w:ascii="Arial" w:eastAsia="Arial" w:hAnsi="Arial" w:cs="Arial"/>
          <w:b/>
          <w:bCs/>
          <w:sz w:val="20"/>
          <w:szCs w:val="20"/>
        </w:rPr>
        <w:t>Indicar código de promoción del hotel al momento de reservar de lo contrario aplica tarifa de contrato.</w:t>
      </w:r>
    </w:p>
    <w:p w14:paraId="6708259A" w14:textId="66DC3DF2" w:rsidR="00D06B30" w:rsidRDefault="00000000">
      <w:pPr>
        <w:numPr>
          <w:ilvl w:val="0"/>
          <w:numId w:val="2"/>
        </w:numPr>
        <w:jc w:val="both"/>
        <w:rPr>
          <w:rFonts w:ascii="Arial" w:eastAsia="Arial" w:hAnsi="Arial" w:cs="Arial"/>
          <w:color w:val="C00000"/>
          <w:sz w:val="20"/>
          <w:szCs w:val="20"/>
        </w:rPr>
      </w:pPr>
      <w:r>
        <w:rPr>
          <w:rFonts w:ascii="Arial" w:eastAsia="Arial" w:hAnsi="Arial" w:cs="Arial"/>
          <w:color w:val="C00000"/>
          <w:sz w:val="20"/>
          <w:szCs w:val="20"/>
        </w:rPr>
        <w:t>(</w:t>
      </w:r>
      <w:r w:rsidR="005D16DB">
        <w:rPr>
          <w:rFonts w:ascii="Arial" w:eastAsia="Arial" w:hAnsi="Arial" w:cs="Arial"/>
          <w:color w:val="C00000"/>
          <w:sz w:val="20"/>
          <w:szCs w:val="20"/>
        </w:rPr>
        <w:t>1</w:t>
      </w:r>
      <w:r>
        <w:rPr>
          <w:rFonts w:ascii="Arial" w:eastAsia="Arial" w:hAnsi="Arial" w:cs="Arial"/>
          <w:color w:val="C00000"/>
          <w:sz w:val="20"/>
          <w:szCs w:val="20"/>
        </w:rPr>
        <w:t>)Para reservar hasta el 30 de Abril</w:t>
      </w:r>
    </w:p>
    <w:p w14:paraId="3E976D17"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Permite infantes de 0-1.99 años gratis, Niños de 02 hasta los 12.99 años paga tarifa indicada.</w:t>
      </w:r>
    </w:p>
    <w:p w14:paraId="5240E485"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Mínimo 02 pax</w:t>
      </w:r>
    </w:p>
    <w:p w14:paraId="1E8BA201"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Los traslados se tienen que confirmar antes de las 72 horas para los cual se debe disponer de horarios de entrada y salida del vuelo</w:t>
      </w:r>
    </w:p>
    <w:p w14:paraId="6DD2B21D"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Los traslados colectivos serán confirmados hasta 24 horas antes de la prestación del servicio. Las ventas de último minuto se ofrecerán con previa consulta al programador, en dependencia de la disponibilidad.</w:t>
      </w:r>
    </w:p>
    <w:p w14:paraId="4707F3C0"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Los traslados colectivos de TRANSFER IN / OUT solo serán confirmados en los vuelos</w:t>
      </w:r>
    </w:p>
    <w:p w14:paraId="171EF846"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Los buses de traslados colectivos no llegan hasta algunos hoteles, EN TRASLADOS HACIA CAYO SANTA MARÍA, donde los clientes se deben trasladar caminando hacia los hoteles Santa Isabel; Armadores de Santander o Parque Central, según cercanía.</w:t>
      </w:r>
    </w:p>
    <w:p w14:paraId="1A276202"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Si el vuelo no aplica para traslados en regular se debe consultar suplemento para traslados en privado</w:t>
      </w:r>
    </w:p>
    <w:p w14:paraId="73E7B2A0"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El horario será reconfirmado por nuestros representantes en destino a los pasajeros.</w:t>
      </w:r>
    </w:p>
    <w:p w14:paraId="1ABCA468" w14:textId="77777777" w:rsidR="00D06B30" w:rsidRDefault="00000000">
      <w:pPr>
        <w:numPr>
          <w:ilvl w:val="0"/>
          <w:numId w:val="2"/>
        </w:numPr>
        <w:jc w:val="both"/>
        <w:rPr>
          <w:rFonts w:ascii="Arial" w:eastAsia="Arial" w:hAnsi="Arial" w:cs="Arial"/>
          <w:sz w:val="20"/>
          <w:szCs w:val="20"/>
        </w:rPr>
      </w:pPr>
      <w:r>
        <w:rPr>
          <w:rFonts w:ascii="Arial" w:eastAsia="Arial" w:hAnsi="Arial" w:cs="Arial"/>
          <w:b/>
          <w:bCs/>
          <w:sz w:val="20"/>
          <w:szCs w:val="20"/>
        </w:rPr>
        <w:t>Para viajar a Cuba se requiere Tarjeta de Turismo y tarjeta de asistencia. (No incluido en la cotización)</w:t>
      </w:r>
    </w:p>
    <w:p w14:paraId="51FBDC0F"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Cancelaciones / no show sujetas a cargos, consultar.</w:t>
      </w:r>
    </w:p>
    <w:p w14:paraId="463600B8"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Tarifa no valido para eventos Importantes de la ciudad, eventos, feriados largos, Semana Santa, Fiestas Patrias, grupos.</w:t>
      </w:r>
    </w:p>
    <w:p w14:paraId="20C66172"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Tarifa sujeta a variación sin previo aviso.</w:t>
      </w:r>
    </w:p>
    <w:p w14:paraId="75951AA4" w14:textId="77777777" w:rsidR="00D06B30" w:rsidRDefault="00000000">
      <w:pPr>
        <w:numPr>
          <w:ilvl w:val="0"/>
          <w:numId w:val="2"/>
        </w:numPr>
        <w:jc w:val="both"/>
        <w:rPr>
          <w:rFonts w:ascii="Arial" w:eastAsia="Arial" w:hAnsi="Arial" w:cs="Arial"/>
          <w:sz w:val="20"/>
          <w:szCs w:val="20"/>
        </w:rPr>
      </w:pPr>
      <w:r>
        <w:rPr>
          <w:rFonts w:ascii="Arial" w:eastAsia="Arial" w:hAnsi="Arial" w:cs="Arial"/>
          <w:sz w:val="20"/>
          <w:szCs w:val="20"/>
        </w:rPr>
        <w:t>Tarifa por pasajero en base a dólares americanos, se aceptan pagos en SOLES según tipo de cambio del día.</w:t>
      </w:r>
    </w:p>
    <w:p w14:paraId="742C09AD" w14:textId="77777777" w:rsidR="00D06B30" w:rsidRDefault="00D06B30">
      <w:pPr>
        <w:rPr>
          <w:rFonts w:ascii="Arial" w:eastAsia="Arial" w:hAnsi="Arial" w:cs="Arial"/>
          <w:sz w:val="20"/>
          <w:szCs w:val="20"/>
        </w:rPr>
      </w:pPr>
    </w:p>
    <w:p w14:paraId="587C14AD" w14:textId="77777777" w:rsidR="00D06B30" w:rsidRDefault="00D06B30">
      <w:pPr>
        <w:rPr>
          <w:rFonts w:ascii="Arial" w:eastAsia="Arial" w:hAnsi="Arial" w:cs="Arial"/>
          <w:sz w:val="18"/>
          <w:szCs w:val="18"/>
        </w:rPr>
      </w:pPr>
    </w:p>
    <w:p w14:paraId="2B32212B" w14:textId="77777777" w:rsidR="00D06B30" w:rsidRDefault="00000000">
      <w:pPr>
        <w:pBdr>
          <w:top w:val="nil"/>
          <w:left w:val="nil"/>
          <w:bottom w:val="nil"/>
          <w:right w:val="nil"/>
          <w:between w:val="nil"/>
        </w:pBdr>
        <w:jc w:val="center"/>
        <w:rPr>
          <w:rFonts w:ascii="Arial" w:eastAsia="Arial" w:hAnsi="Arial" w:cs="Arial"/>
          <w:color w:val="E36C0A"/>
        </w:rPr>
      </w:pPr>
      <w:r>
        <w:rPr>
          <w:rFonts w:ascii="Arial" w:eastAsia="Arial" w:hAnsi="Arial" w:cs="Arial"/>
          <w:b/>
          <w:bCs/>
          <w:color w:val="E36C0A"/>
        </w:rPr>
        <w:t>MATERIAL DE USO EXCLUSIVO PARA AGENCIAS DE VIAJE</w:t>
      </w:r>
    </w:p>
    <w:sectPr w:rsidR="00D06B30">
      <w:pgSz w:w="11906" w:h="16838"/>
      <w:pgMar w:top="426" w:right="566" w:bottom="720"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7D8B8DF7-B16E-B54B-A79B-013C6FBA0BD1}"/>
  </w:font>
  <w:font w:name="Courier New">
    <w:panose1 w:val="02070309020205020404"/>
    <w:charset w:val="00"/>
    <w:family w:val="modern"/>
    <w:pitch w:val="fixed"/>
    <w:sig w:usb0="E0002AFF" w:usb1="C0007843" w:usb2="00000009" w:usb3="00000000" w:csb0="000001FF" w:csb1="00000000"/>
    <w:embedRegular r:id="rId2" w:fontKey="{6A617757-B777-7D43-BCF9-246B3F7AAEAF}"/>
  </w:font>
  <w:font w:name="Times New Roman">
    <w:panose1 w:val="02020603050405020304"/>
    <w:charset w:val="00"/>
    <w:family w:val="roman"/>
    <w:pitch w:val="variable"/>
    <w:sig w:usb0="E0002EFF" w:usb1="C000785B" w:usb2="00000009" w:usb3="00000000" w:csb0="000001FF" w:csb1="00000000"/>
    <w:embedRegular r:id="rId3" w:fontKey="{E0860139-290C-D445-90A2-130A61F66F54}"/>
    <w:embedBold r:id="rId4" w:fontKey="{269F8570-23C8-8343-93EB-5680D302C7B8}"/>
  </w:font>
  <w:font w:name="Georgia">
    <w:panose1 w:val="02040502050405020303"/>
    <w:charset w:val="00"/>
    <w:family w:val="roman"/>
    <w:pitch w:val="variable"/>
    <w:sig w:usb0="00000287" w:usb1="00000000" w:usb2="00000000" w:usb3="00000000" w:csb0="0000009F" w:csb1="00000000"/>
    <w:embedItalic r:id="rId5" w:fontKey="{A901DF14-478A-1346-85AC-B86209D2AAB7}"/>
  </w:font>
  <w:font w:name="Arial Black">
    <w:panose1 w:val="020B0A04020102020204"/>
    <w:charset w:val="00"/>
    <w:family w:val="swiss"/>
    <w:pitch w:val="variable"/>
    <w:sig w:usb0="A00002AF" w:usb1="400078FB" w:usb2="00000000" w:usb3="00000000" w:csb0="0000009F" w:csb1="00000000"/>
    <w:embedRegular r:id="rId6" w:fontKey="{342A0E99-39B2-774E-9BE2-CDCAA4ECF113}"/>
    <w:embedBold r:id="rId7" w:fontKey="{2872D871-D6F9-9A48-AFE2-0C4E4859F6F1}"/>
  </w:font>
  <w:font w:name="Arial">
    <w:panose1 w:val="020B0604020202020204"/>
    <w:charset w:val="00"/>
    <w:family w:val="swiss"/>
    <w:pitch w:val="variable"/>
    <w:sig w:usb0="E0002AFF" w:usb1="C0007843" w:usb2="00000009" w:usb3="00000000" w:csb0="000001FF" w:csb1="00000000"/>
    <w:embedRegular r:id="rId8" w:fontKey="{3FF33211-A335-D24C-9290-13A679986CB3}"/>
    <w:embedBold r:id="rId9" w:fontKey="{3109413E-DE65-CA4A-A77D-7FB7E711D287}"/>
  </w:font>
  <w:font w:name="Calibri">
    <w:panose1 w:val="020F0502020204030204"/>
    <w:charset w:val="00"/>
    <w:family w:val="swiss"/>
    <w:pitch w:val="variable"/>
    <w:sig w:usb0="E0002AFF" w:usb1="C000247B" w:usb2="00000009" w:usb3="00000000" w:csb0="000001FF" w:csb1="00000000"/>
    <w:embedRegular r:id="rId10" w:fontKey="{4D43D609-2D83-0F4F-AF24-A013EB13FFF2}"/>
  </w:font>
  <w:font w:name="Cambria">
    <w:panose1 w:val="02040503050406030204"/>
    <w:charset w:val="00"/>
    <w:family w:val="roman"/>
    <w:pitch w:val="variable"/>
    <w:sig w:usb0="E00002FF" w:usb1="400004FF" w:usb2="00000000" w:usb3="00000000" w:csb0="0000019F" w:csb1="00000000"/>
    <w:embedRegular r:id="rId11" w:fontKey="{C2EA8A43-A7C2-6845-9C69-8ED97447CE7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D276F"/>
    <w:multiLevelType w:val="multilevel"/>
    <w:tmpl w:val="A6E04B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A565248"/>
    <w:multiLevelType w:val="multilevel"/>
    <w:tmpl w:val="A6E04B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705818">
    <w:abstractNumId w:val="1"/>
  </w:num>
  <w:num w:numId="2" w16cid:durableId="1819179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B30"/>
    <w:rsid w:val="005D16DB"/>
    <w:rsid w:val="00D06B30"/>
    <w:rsid w:val="00E96B8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78F83B15"/>
  <w15:docId w15:val="{6A3E963F-96B5-AF44-B2DC-A28C1362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NormalWeb">
    <w:name w:val="Normal (Web)"/>
    <w:basedOn w:val="Normal"/>
    <w:pPr>
      <w:suppressAutoHyphens/>
      <w:spacing w:before="100" w:beforeAutospacing="1" w:after="100" w:afterAutospacing="1" w:line="1" w:lineRule="atLeast"/>
      <w:ind w:leftChars="-1" w:left="-1" w:hangingChars="1" w:hanging="1"/>
      <w:textDirection w:val="btLr"/>
      <w:textAlignment w:val="top"/>
      <w:outlineLvl w:val="0"/>
    </w:pPr>
    <w:rPr>
      <w:position w:val="-1"/>
      <w:lang w:val="es-ES" w:eastAsia="es-ES"/>
    </w:rPr>
  </w:style>
  <w:style w:type="paragraph" w:styleId="Sinespaciado">
    <w:name w:val="No Spacing"/>
    <w:pPr>
      <w:suppressAutoHyphens/>
      <w:spacing w:line="1" w:lineRule="atLeast"/>
      <w:ind w:leftChars="-1" w:left="-1" w:hangingChars="1" w:hanging="1"/>
      <w:textDirection w:val="btLr"/>
      <w:textAlignment w:val="top"/>
      <w:outlineLvl w:val="0"/>
    </w:pPr>
    <w:rPr>
      <w:position w:val="-1"/>
      <w:lang w:val="es-ES"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3+pN/H4PZNmCSXMv9Xo6Rnwhog==">CgMxLjA4AHIhMWh3OEQ5c1U0VDBQcnRtdTRUcVA4bDNMZ2djYXVjSVRY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2074</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Johnny Franco Otoya</cp:lastModifiedBy>
  <cp:revision>2</cp:revision>
  <dcterms:created xsi:type="dcterms:W3CDTF">2014-01-14T21:33:00Z</dcterms:created>
  <dcterms:modified xsi:type="dcterms:W3CDTF">2026-04-14T02:07:00Z</dcterms:modified>
</cp:coreProperties>
</file>