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6017A"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56"/>
          <w:szCs w:val="56"/>
        </w:rPr>
      </w:pPr>
      <w:r>
        <w:rPr>
          <w:rFonts w:ascii="Arial Black" w:eastAsia="Arial Black" w:hAnsi="Arial Black" w:cs="Arial Black"/>
          <w:b/>
          <w:bCs/>
          <w:color w:val="002060"/>
          <w:sz w:val="72"/>
          <w:szCs w:val="72"/>
        </w:rPr>
        <w:t>AVA HOTEL CANCUN</w:t>
      </w:r>
    </w:p>
    <w:p w14:paraId="00000002" w14:textId="77777777" w:rsidR="0046017A"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40"/>
          <w:szCs w:val="40"/>
        </w:rPr>
      </w:pPr>
      <w:r>
        <w:rPr>
          <w:rFonts w:ascii="Arial" w:eastAsia="Arial" w:hAnsi="Arial" w:cs="Arial"/>
          <w:b/>
          <w:bCs/>
          <w:color w:val="002060"/>
          <w:sz w:val="40"/>
          <w:szCs w:val="40"/>
        </w:rPr>
        <w:t xml:space="preserve"> </w:t>
      </w:r>
      <w:r>
        <w:rPr>
          <w:rFonts w:ascii="Arial Black" w:eastAsia="Arial Black" w:hAnsi="Arial Black" w:cs="Arial Black"/>
          <w:b/>
          <w:bCs/>
          <w:color w:val="002060"/>
          <w:sz w:val="40"/>
          <w:szCs w:val="40"/>
        </w:rPr>
        <w:t>SOLO SERVICIOS 2026</w:t>
      </w:r>
    </w:p>
    <w:p w14:paraId="00000003" w14:textId="77777777" w:rsidR="0046017A"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32"/>
          <w:szCs w:val="32"/>
        </w:rPr>
      </w:pPr>
      <w:r>
        <w:rPr>
          <w:rFonts w:ascii="Arial Black" w:eastAsia="Arial Black" w:hAnsi="Arial Black" w:cs="Arial Black"/>
          <w:b/>
          <w:bCs/>
          <w:color w:val="002060"/>
          <w:sz w:val="32"/>
          <w:szCs w:val="32"/>
        </w:rPr>
        <w:t>(04 días / 03 noches)</w:t>
      </w:r>
    </w:p>
    <w:p w14:paraId="00000004" w14:textId="77777777" w:rsidR="0046017A" w:rsidRDefault="0046017A">
      <w:pPr>
        <w:spacing w:after="0" w:line="240" w:lineRule="auto"/>
        <w:rPr>
          <w:color w:val="984806"/>
          <w:sz w:val="24"/>
          <w:szCs w:val="24"/>
        </w:rPr>
      </w:pPr>
    </w:p>
    <w:p w14:paraId="00000005" w14:textId="77777777" w:rsidR="0046017A" w:rsidRDefault="0046017A">
      <w:pPr>
        <w:pBdr>
          <w:top w:val="nil"/>
          <w:left w:val="nil"/>
          <w:bottom w:val="nil"/>
          <w:right w:val="nil"/>
          <w:between w:val="nil"/>
        </w:pBdr>
        <w:spacing w:after="0" w:line="240" w:lineRule="auto"/>
        <w:rPr>
          <w:rFonts w:ascii="Arial" w:eastAsia="Arial" w:hAnsi="Arial" w:cs="Arial"/>
          <w:color w:val="E36C0A"/>
        </w:rPr>
      </w:pPr>
    </w:p>
    <w:p w14:paraId="00000006" w14:textId="77777777" w:rsidR="0046017A"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Programa Incluye:</w:t>
      </w:r>
    </w:p>
    <w:p w14:paraId="00000007" w14:textId="77777777" w:rsidR="0046017A"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Traslado aeropuerto / hotel / aeropuerto en servicio regular</w:t>
      </w:r>
    </w:p>
    <w:p w14:paraId="00000008" w14:textId="77777777" w:rsidR="0046017A"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000000"/>
          <w:sz w:val="20"/>
          <w:szCs w:val="20"/>
        </w:rPr>
        <w:t>03 noches de alojamiento</w:t>
      </w:r>
    </w:p>
    <w:p w14:paraId="00000009" w14:textId="77777777" w:rsidR="0046017A"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Sistema TODO INCLUIDO</w:t>
      </w:r>
    </w:p>
    <w:p w14:paraId="0000000A" w14:textId="77777777" w:rsidR="0046017A"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Impuestos hoteleros</w:t>
      </w:r>
    </w:p>
    <w:p w14:paraId="0000000B" w14:textId="77777777" w:rsidR="0046017A" w:rsidRDefault="00000000">
      <w:pPr>
        <w:pBdr>
          <w:top w:val="nil"/>
          <w:left w:val="nil"/>
          <w:bottom w:val="nil"/>
          <w:right w:val="nil"/>
          <w:between w:val="nil"/>
        </w:pBdr>
        <w:tabs>
          <w:tab w:val="left" w:pos="2925"/>
        </w:tabs>
        <w:spacing w:after="0" w:line="240" w:lineRule="auto"/>
        <w:rPr>
          <w:rFonts w:ascii="Arial" w:eastAsia="Arial" w:hAnsi="Arial" w:cs="Arial"/>
          <w:color w:val="000000"/>
          <w:sz w:val="20"/>
          <w:szCs w:val="20"/>
        </w:rPr>
      </w:pPr>
      <w:r>
        <w:rPr>
          <w:rFonts w:ascii="Arial" w:eastAsia="Arial" w:hAnsi="Arial" w:cs="Arial"/>
          <w:color w:val="000000"/>
          <w:sz w:val="20"/>
          <w:szCs w:val="20"/>
        </w:rPr>
        <w:tab/>
      </w:r>
    </w:p>
    <w:p w14:paraId="0000000C" w14:textId="77777777" w:rsidR="0046017A"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Precio por pasajero en USD:</w:t>
      </w:r>
    </w:p>
    <w:tbl>
      <w:tblPr>
        <w:tblW w:w="7360" w:type="dxa"/>
        <w:tblCellMar>
          <w:left w:w="70" w:type="dxa"/>
          <w:right w:w="70" w:type="dxa"/>
        </w:tblCellMar>
        <w:tblLook w:val="04A0" w:firstRow="1" w:lastRow="0" w:firstColumn="1" w:lastColumn="0" w:noHBand="0" w:noVBand="1"/>
      </w:tblPr>
      <w:tblGrid>
        <w:gridCol w:w="2560"/>
        <w:gridCol w:w="740"/>
        <w:gridCol w:w="760"/>
        <w:gridCol w:w="780"/>
        <w:gridCol w:w="780"/>
        <w:gridCol w:w="1740"/>
      </w:tblGrid>
      <w:tr w:rsidR="003E4885" w:rsidRPr="003E4885" w14:paraId="5529ECF4" w14:textId="77777777" w:rsidTr="003E4885">
        <w:trPr>
          <w:trHeight w:val="315"/>
        </w:trPr>
        <w:tc>
          <w:tcPr>
            <w:tcW w:w="256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0445027C" w14:textId="77777777" w:rsidR="003E4885" w:rsidRPr="003E4885" w:rsidRDefault="003E4885" w:rsidP="003E4885">
            <w:pPr>
              <w:spacing w:after="0" w:line="240" w:lineRule="auto"/>
              <w:jc w:val="center"/>
              <w:rPr>
                <w:rFonts w:ascii="Arial" w:eastAsia="Times New Roman" w:hAnsi="Arial" w:cs="Arial"/>
                <w:b/>
                <w:bCs/>
                <w:color w:val="FFFFFF"/>
                <w:sz w:val="16"/>
                <w:szCs w:val="16"/>
                <w:lang w:val="es-PE"/>
              </w:rPr>
            </w:pPr>
            <w:r w:rsidRPr="003E4885">
              <w:rPr>
                <w:rFonts w:ascii="Arial" w:eastAsia="Times New Roman" w:hAnsi="Arial" w:cs="Arial"/>
                <w:b/>
                <w:bCs/>
                <w:color w:val="FFFFFF"/>
                <w:sz w:val="16"/>
                <w:szCs w:val="16"/>
                <w:lang w:val="es-PE"/>
              </w:rPr>
              <w:t>Hotel</w:t>
            </w:r>
          </w:p>
        </w:tc>
        <w:tc>
          <w:tcPr>
            <w:tcW w:w="740" w:type="dxa"/>
            <w:tcBorders>
              <w:top w:val="single" w:sz="4" w:space="0" w:color="0070C0"/>
              <w:left w:val="nil"/>
              <w:bottom w:val="single" w:sz="4" w:space="0" w:color="0070C0"/>
              <w:right w:val="single" w:sz="4" w:space="0" w:color="0070C0"/>
            </w:tcBorders>
            <w:shd w:val="clear" w:color="0066CC" w:fill="0066CC"/>
            <w:noWrap/>
            <w:vAlign w:val="center"/>
            <w:hideMark/>
          </w:tcPr>
          <w:p w14:paraId="667D0A9D" w14:textId="77777777" w:rsidR="003E4885" w:rsidRPr="003E4885" w:rsidRDefault="003E4885" w:rsidP="003E4885">
            <w:pPr>
              <w:spacing w:after="0" w:line="240" w:lineRule="auto"/>
              <w:jc w:val="center"/>
              <w:rPr>
                <w:rFonts w:ascii="Arial" w:eastAsia="Times New Roman" w:hAnsi="Arial" w:cs="Arial"/>
                <w:b/>
                <w:bCs/>
                <w:color w:val="FFFFFF"/>
                <w:sz w:val="16"/>
                <w:szCs w:val="16"/>
                <w:lang w:val="es-PE"/>
              </w:rPr>
            </w:pPr>
            <w:r w:rsidRPr="003E4885">
              <w:rPr>
                <w:rFonts w:ascii="Arial" w:eastAsia="Times New Roman" w:hAnsi="Arial" w:cs="Arial"/>
                <w:b/>
                <w:bCs/>
                <w:color w:val="FFFFFF"/>
                <w:sz w:val="16"/>
                <w:szCs w:val="16"/>
                <w:lang w:val="es-PE"/>
              </w:rPr>
              <w:t>SGL</w:t>
            </w:r>
          </w:p>
        </w:tc>
        <w:tc>
          <w:tcPr>
            <w:tcW w:w="760" w:type="dxa"/>
            <w:tcBorders>
              <w:top w:val="single" w:sz="4" w:space="0" w:color="0070C0"/>
              <w:left w:val="nil"/>
              <w:bottom w:val="single" w:sz="4" w:space="0" w:color="0070C0"/>
              <w:right w:val="single" w:sz="4" w:space="0" w:color="0070C0"/>
            </w:tcBorders>
            <w:shd w:val="clear" w:color="0066CC" w:fill="0066CC"/>
            <w:noWrap/>
            <w:vAlign w:val="center"/>
            <w:hideMark/>
          </w:tcPr>
          <w:p w14:paraId="660D1262" w14:textId="77777777" w:rsidR="003E4885" w:rsidRPr="003E4885" w:rsidRDefault="003E4885" w:rsidP="003E4885">
            <w:pPr>
              <w:spacing w:after="0" w:line="240" w:lineRule="auto"/>
              <w:jc w:val="center"/>
              <w:rPr>
                <w:rFonts w:ascii="Arial" w:eastAsia="Times New Roman" w:hAnsi="Arial" w:cs="Arial"/>
                <w:b/>
                <w:bCs/>
                <w:color w:val="FFFFFF"/>
                <w:sz w:val="16"/>
                <w:szCs w:val="16"/>
                <w:lang w:val="es-PE"/>
              </w:rPr>
            </w:pPr>
            <w:r w:rsidRPr="003E4885">
              <w:rPr>
                <w:rFonts w:ascii="Arial" w:eastAsia="Times New Roman" w:hAnsi="Arial" w:cs="Arial"/>
                <w:b/>
                <w:bCs/>
                <w:color w:val="FFFFFF"/>
                <w:sz w:val="16"/>
                <w:szCs w:val="16"/>
                <w:lang w:val="es-PE"/>
              </w:rPr>
              <w:t>DBL</w:t>
            </w:r>
          </w:p>
        </w:tc>
        <w:tc>
          <w:tcPr>
            <w:tcW w:w="780" w:type="dxa"/>
            <w:tcBorders>
              <w:top w:val="single" w:sz="4" w:space="0" w:color="0070C0"/>
              <w:left w:val="nil"/>
              <w:bottom w:val="single" w:sz="4" w:space="0" w:color="0070C0"/>
              <w:right w:val="single" w:sz="4" w:space="0" w:color="0070C0"/>
            </w:tcBorders>
            <w:shd w:val="clear" w:color="0066CC" w:fill="0066CC"/>
            <w:noWrap/>
            <w:vAlign w:val="center"/>
            <w:hideMark/>
          </w:tcPr>
          <w:p w14:paraId="1E872247" w14:textId="77777777" w:rsidR="003E4885" w:rsidRPr="003E4885" w:rsidRDefault="003E4885" w:rsidP="003E4885">
            <w:pPr>
              <w:spacing w:after="0" w:line="240" w:lineRule="auto"/>
              <w:jc w:val="center"/>
              <w:rPr>
                <w:rFonts w:ascii="Arial" w:eastAsia="Times New Roman" w:hAnsi="Arial" w:cs="Arial"/>
                <w:b/>
                <w:bCs/>
                <w:color w:val="FFFFFF"/>
                <w:sz w:val="16"/>
                <w:szCs w:val="16"/>
                <w:lang w:val="es-PE"/>
              </w:rPr>
            </w:pPr>
            <w:r w:rsidRPr="003E4885">
              <w:rPr>
                <w:rFonts w:ascii="Arial" w:eastAsia="Times New Roman" w:hAnsi="Arial" w:cs="Arial"/>
                <w:b/>
                <w:bCs/>
                <w:color w:val="FFFFFF"/>
                <w:sz w:val="16"/>
                <w:szCs w:val="16"/>
                <w:lang w:val="es-PE"/>
              </w:rPr>
              <w:t>TPL</w:t>
            </w:r>
          </w:p>
        </w:tc>
        <w:tc>
          <w:tcPr>
            <w:tcW w:w="780" w:type="dxa"/>
            <w:tcBorders>
              <w:top w:val="single" w:sz="4" w:space="0" w:color="0070C0"/>
              <w:left w:val="nil"/>
              <w:bottom w:val="single" w:sz="4" w:space="0" w:color="0070C0"/>
              <w:right w:val="single" w:sz="4" w:space="0" w:color="0070C0"/>
            </w:tcBorders>
            <w:shd w:val="clear" w:color="0066CC" w:fill="0066CC"/>
            <w:noWrap/>
            <w:vAlign w:val="center"/>
            <w:hideMark/>
          </w:tcPr>
          <w:p w14:paraId="413ACE1E" w14:textId="77777777" w:rsidR="003E4885" w:rsidRPr="003E4885" w:rsidRDefault="003E4885" w:rsidP="003E4885">
            <w:pPr>
              <w:spacing w:after="0" w:line="240" w:lineRule="auto"/>
              <w:jc w:val="center"/>
              <w:rPr>
                <w:rFonts w:ascii="Arial" w:eastAsia="Times New Roman" w:hAnsi="Arial" w:cs="Arial"/>
                <w:b/>
                <w:bCs/>
                <w:color w:val="FFFFFF"/>
                <w:sz w:val="16"/>
                <w:szCs w:val="16"/>
                <w:lang w:val="es-PE"/>
              </w:rPr>
            </w:pPr>
            <w:r w:rsidRPr="003E4885">
              <w:rPr>
                <w:rFonts w:ascii="Arial" w:eastAsia="Times New Roman" w:hAnsi="Arial" w:cs="Arial"/>
                <w:b/>
                <w:bCs/>
                <w:color w:val="FFFFFF"/>
                <w:sz w:val="16"/>
                <w:szCs w:val="16"/>
                <w:lang w:val="es-PE"/>
              </w:rPr>
              <w:t xml:space="preserve">CHD </w:t>
            </w:r>
          </w:p>
        </w:tc>
        <w:tc>
          <w:tcPr>
            <w:tcW w:w="1740" w:type="dxa"/>
            <w:tcBorders>
              <w:top w:val="single" w:sz="4" w:space="0" w:color="0070C0"/>
              <w:left w:val="nil"/>
              <w:bottom w:val="single" w:sz="4" w:space="0" w:color="0070C0"/>
              <w:right w:val="single" w:sz="4" w:space="0" w:color="0070C0"/>
            </w:tcBorders>
            <w:shd w:val="clear" w:color="0066CC" w:fill="0066CC"/>
            <w:noWrap/>
            <w:vAlign w:val="center"/>
            <w:hideMark/>
          </w:tcPr>
          <w:p w14:paraId="080223F4" w14:textId="77777777" w:rsidR="003E4885" w:rsidRPr="003E4885" w:rsidRDefault="003E4885" w:rsidP="003E4885">
            <w:pPr>
              <w:spacing w:after="0" w:line="240" w:lineRule="auto"/>
              <w:jc w:val="center"/>
              <w:rPr>
                <w:rFonts w:ascii="Arial" w:eastAsia="Times New Roman" w:hAnsi="Arial" w:cs="Arial"/>
                <w:b/>
                <w:bCs/>
                <w:color w:val="FFFFFF"/>
                <w:sz w:val="16"/>
                <w:szCs w:val="16"/>
                <w:lang w:val="es-PE"/>
              </w:rPr>
            </w:pPr>
            <w:r w:rsidRPr="003E4885">
              <w:rPr>
                <w:rFonts w:ascii="Arial" w:eastAsia="Times New Roman" w:hAnsi="Arial" w:cs="Arial"/>
                <w:b/>
                <w:bCs/>
                <w:color w:val="FFFFFF"/>
                <w:sz w:val="16"/>
                <w:szCs w:val="16"/>
                <w:lang w:val="es-PE"/>
              </w:rPr>
              <w:t>Vigencia</w:t>
            </w:r>
          </w:p>
        </w:tc>
      </w:tr>
      <w:tr w:rsidR="003E4885" w:rsidRPr="003E4885" w14:paraId="3D4D5E67" w14:textId="77777777" w:rsidTr="003E4885">
        <w:trPr>
          <w:trHeight w:val="315"/>
        </w:trPr>
        <w:tc>
          <w:tcPr>
            <w:tcW w:w="2560" w:type="dxa"/>
            <w:vMerge w:val="restart"/>
            <w:tcBorders>
              <w:top w:val="nil"/>
              <w:left w:val="single" w:sz="4" w:space="0" w:color="0070C0"/>
              <w:bottom w:val="single" w:sz="4" w:space="0" w:color="0070C0"/>
              <w:right w:val="single" w:sz="4" w:space="0" w:color="0070C0"/>
            </w:tcBorders>
            <w:noWrap/>
            <w:vAlign w:val="center"/>
            <w:hideMark/>
          </w:tcPr>
          <w:p w14:paraId="44743803"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Ava Resort Cancun</w:t>
            </w:r>
          </w:p>
        </w:tc>
        <w:tc>
          <w:tcPr>
            <w:tcW w:w="740" w:type="dxa"/>
            <w:tcBorders>
              <w:top w:val="nil"/>
              <w:left w:val="nil"/>
              <w:bottom w:val="single" w:sz="4" w:space="0" w:color="0070C0"/>
              <w:right w:val="single" w:sz="4" w:space="0" w:color="0070C0"/>
            </w:tcBorders>
            <w:noWrap/>
            <w:vAlign w:val="bottom"/>
            <w:hideMark/>
          </w:tcPr>
          <w:p w14:paraId="3995B018"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1329</w:t>
            </w:r>
          </w:p>
        </w:tc>
        <w:tc>
          <w:tcPr>
            <w:tcW w:w="760" w:type="dxa"/>
            <w:tcBorders>
              <w:top w:val="nil"/>
              <w:left w:val="nil"/>
              <w:bottom w:val="single" w:sz="4" w:space="0" w:color="0070C0"/>
              <w:right w:val="single" w:sz="4" w:space="0" w:color="0070C0"/>
            </w:tcBorders>
            <w:noWrap/>
            <w:vAlign w:val="bottom"/>
            <w:hideMark/>
          </w:tcPr>
          <w:p w14:paraId="3E915CDD"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680</w:t>
            </w:r>
          </w:p>
        </w:tc>
        <w:tc>
          <w:tcPr>
            <w:tcW w:w="780" w:type="dxa"/>
            <w:tcBorders>
              <w:top w:val="nil"/>
              <w:left w:val="nil"/>
              <w:bottom w:val="single" w:sz="4" w:space="0" w:color="0070C0"/>
              <w:right w:val="single" w:sz="4" w:space="0" w:color="0070C0"/>
            </w:tcBorders>
            <w:noWrap/>
            <w:vAlign w:val="bottom"/>
            <w:hideMark/>
          </w:tcPr>
          <w:p w14:paraId="69A46373"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607</w:t>
            </w:r>
          </w:p>
        </w:tc>
        <w:tc>
          <w:tcPr>
            <w:tcW w:w="780" w:type="dxa"/>
            <w:tcBorders>
              <w:top w:val="nil"/>
              <w:left w:val="nil"/>
              <w:bottom w:val="single" w:sz="4" w:space="0" w:color="0070C0"/>
              <w:right w:val="single" w:sz="4" w:space="0" w:color="0070C0"/>
            </w:tcBorders>
            <w:noWrap/>
            <w:vAlign w:val="bottom"/>
            <w:hideMark/>
          </w:tcPr>
          <w:p w14:paraId="62881276"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25</w:t>
            </w:r>
          </w:p>
        </w:tc>
        <w:tc>
          <w:tcPr>
            <w:tcW w:w="1740" w:type="dxa"/>
            <w:tcBorders>
              <w:top w:val="nil"/>
              <w:left w:val="nil"/>
              <w:bottom w:val="single" w:sz="4" w:space="0" w:color="0070C0"/>
              <w:right w:val="single" w:sz="4" w:space="0" w:color="0070C0"/>
            </w:tcBorders>
            <w:noWrap/>
            <w:vAlign w:val="bottom"/>
            <w:hideMark/>
          </w:tcPr>
          <w:p w14:paraId="193910FC"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Octubre</w:t>
            </w:r>
          </w:p>
        </w:tc>
      </w:tr>
      <w:tr w:rsidR="003E4885" w:rsidRPr="003E4885" w14:paraId="2E4C9AE8" w14:textId="77777777" w:rsidTr="003E4885">
        <w:trPr>
          <w:trHeight w:val="315"/>
        </w:trPr>
        <w:tc>
          <w:tcPr>
            <w:tcW w:w="2560" w:type="dxa"/>
            <w:vMerge/>
            <w:tcBorders>
              <w:top w:val="nil"/>
              <w:left w:val="single" w:sz="4" w:space="0" w:color="0070C0"/>
              <w:bottom w:val="single" w:sz="4" w:space="0" w:color="0070C0"/>
              <w:right w:val="single" w:sz="4" w:space="0" w:color="0070C0"/>
            </w:tcBorders>
            <w:vAlign w:val="center"/>
            <w:hideMark/>
          </w:tcPr>
          <w:p w14:paraId="5C2B5A80" w14:textId="77777777" w:rsidR="003E4885" w:rsidRPr="003E4885" w:rsidRDefault="003E4885" w:rsidP="003E4885">
            <w:pPr>
              <w:spacing w:after="0" w:line="240" w:lineRule="auto"/>
              <w:rPr>
                <w:rFonts w:ascii="Arial" w:eastAsia="Times New Roman" w:hAnsi="Arial" w:cs="Arial"/>
                <w:b/>
                <w:bCs/>
                <w:color w:val="000000"/>
                <w:sz w:val="16"/>
                <w:szCs w:val="16"/>
                <w:lang w:val="es-PE"/>
              </w:rPr>
            </w:pPr>
          </w:p>
        </w:tc>
        <w:tc>
          <w:tcPr>
            <w:tcW w:w="740" w:type="dxa"/>
            <w:tcBorders>
              <w:top w:val="nil"/>
              <w:left w:val="nil"/>
              <w:bottom w:val="single" w:sz="4" w:space="0" w:color="0070C0"/>
              <w:right w:val="single" w:sz="4" w:space="0" w:color="0070C0"/>
            </w:tcBorders>
            <w:noWrap/>
            <w:vAlign w:val="bottom"/>
            <w:hideMark/>
          </w:tcPr>
          <w:p w14:paraId="063BCC7A"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1388</w:t>
            </w:r>
          </w:p>
        </w:tc>
        <w:tc>
          <w:tcPr>
            <w:tcW w:w="760" w:type="dxa"/>
            <w:tcBorders>
              <w:top w:val="nil"/>
              <w:left w:val="nil"/>
              <w:bottom w:val="single" w:sz="4" w:space="0" w:color="0070C0"/>
              <w:right w:val="single" w:sz="4" w:space="0" w:color="0070C0"/>
            </w:tcBorders>
            <w:noWrap/>
            <w:vAlign w:val="bottom"/>
            <w:hideMark/>
          </w:tcPr>
          <w:p w14:paraId="3F200DFB"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709</w:t>
            </w:r>
          </w:p>
        </w:tc>
        <w:tc>
          <w:tcPr>
            <w:tcW w:w="780" w:type="dxa"/>
            <w:tcBorders>
              <w:top w:val="nil"/>
              <w:left w:val="nil"/>
              <w:bottom w:val="single" w:sz="4" w:space="0" w:color="0070C0"/>
              <w:right w:val="single" w:sz="4" w:space="0" w:color="0070C0"/>
            </w:tcBorders>
            <w:noWrap/>
            <w:vAlign w:val="bottom"/>
            <w:hideMark/>
          </w:tcPr>
          <w:p w14:paraId="4BC52FB9"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650</w:t>
            </w:r>
          </w:p>
        </w:tc>
        <w:tc>
          <w:tcPr>
            <w:tcW w:w="780" w:type="dxa"/>
            <w:tcBorders>
              <w:top w:val="nil"/>
              <w:left w:val="nil"/>
              <w:bottom w:val="single" w:sz="4" w:space="0" w:color="0070C0"/>
              <w:right w:val="single" w:sz="4" w:space="0" w:color="0070C0"/>
            </w:tcBorders>
            <w:noWrap/>
            <w:vAlign w:val="bottom"/>
            <w:hideMark/>
          </w:tcPr>
          <w:p w14:paraId="66C4A85E"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25</w:t>
            </w:r>
          </w:p>
        </w:tc>
        <w:tc>
          <w:tcPr>
            <w:tcW w:w="1740" w:type="dxa"/>
            <w:tcBorders>
              <w:top w:val="nil"/>
              <w:left w:val="nil"/>
              <w:bottom w:val="single" w:sz="4" w:space="0" w:color="0070C0"/>
              <w:right w:val="single" w:sz="4" w:space="0" w:color="0070C0"/>
            </w:tcBorders>
            <w:noWrap/>
            <w:vAlign w:val="bottom"/>
            <w:hideMark/>
          </w:tcPr>
          <w:p w14:paraId="217C0806"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Noviembre</w:t>
            </w:r>
          </w:p>
        </w:tc>
      </w:tr>
      <w:tr w:rsidR="003E4885" w:rsidRPr="003E4885" w14:paraId="4DDC4B46" w14:textId="77777777" w:rsidTr="003E4885">
        <w:trPr>
          <w:trHeight w:val="315"/>
        </w:trPr>
        <w:tc>
          <w:tcPr>
            <w:tcW w:w="2560" w:type="dxa"/>
            <w:vMerge/>
            <w:tcBorders>
              <w:top w:val="nil"/>
              <w:left w:val="single" w:sz="4" w:space="0" w:color="0070C0"/>
              <w:bottom w:val="single" w:sz="4" w:space="0" w:color="0070C0"/>
              <w:right w:val="single" w:sz="4" w:space="0" w:color="0070C0"/>
            </w:tcBorders>
            <w:vAlign w:val="center"/>
            <w:hideMark/>
          </w:tcPr>
          <w:p w14:paraId="4BDF901F" w14:textId="77777777" w:rsidR="003E4885" w:rsidRPr="003E4885" w:rsidRDefault="003E4885" w:rsidP="003E4885">
            <w:pPr>
              <w:spacing w:after="0" w:line="240" w:lineRule="auto"/>
              <w:rPr>
                <w:rFonts w:ascii="Arial" w:eastAsia="Times New Roman" w:hAnsi="Arial" w:cs="Arial"/>
                <w:b/>
                <w:bCs/>
                <w:color w:val="000000"/>
                <w:sz w:val="16"/>
                <w:szCs w:val="16"/>
                <w:lang w:val="es-PE"/>
              </w:rPr>
            </w:pPr>
          </w:p>
        </w:tc>
        <w:tc>
          <w:tcPr>
            <w:tcW w:w="740" w:type="dxa"/>
            <w:tcBorders>
              <w:top w:val="nil"/>
              <w:left w:val="nil"/>
              <w:bottom w:val="single" w:sz="4" w:space="0" w:color="0070C0"/>
              <w:right w:val="single" w:sz="4" w:space="0" w:color="0070C0"/>
            </w:tcBorders>
            <w:noWrap/>
            <w:vAlign w:val="bottom"/>
            <w:hideMark/>
          </w:tcPr>
          <w:p w14:paraId="5AA8C6EF"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1388</w:t>
            </w:r>
          </w:p>
        </w:tc>
        <w:tc>
          <w:tcPr>
            <w:tcW w:w="760" w:type="dxa"/>
            <w:tcBorders>
              <w:top w:val="nil"/>
              <w:left w:val="nil"/>
              <w:bottom w:val="single" w:sz="4" w:space="0" w:color="0070C0"/>
              <w:right w:val="single" w:sz="4" w:space="0" w:color="0070C0"/>
            </w:tcBorders>
            <w:noWrap/>
            <w:vAlign w:val="bottom"/>
            <w:hideMark/>
          </w:tcPr>
          <w:p w14:paraId="17E49837"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709</w:t>
            </w:r>
          </w:p>
        </w:tc>
        <w:tc>
          <w:tcPr>
            <w:tcW w:w="780" w:type="dxa"/>
            <w:tcBorders>
              <w:top w:val="nil"/>
              <w:left w:val="nil"/>
              <w:bottom w:val="single" w:sz="4" w:space="0" w:color="0070C0"/>
              <w:right w:val="single" w:sz="4" w:space="0" w:color="0070C0"/>
            </w:tcBorders>
            <w:noWrap/>
            <w:vAlign w:val="bottom"/>
            <w:hideMark/>
          </w:tcPr>
          <w:p w14:paraId="37B04435"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650</w:t>
            </w:r>
          </w:p>
        </w:tc>
        <w:tc>
          <w:tcPr>
            <w:tcW w:w="780" w:type="dxa"/>
            <w:tcBorders>
              <w:top w:val="nil"/>
              <w:left w:val="nil"/>
              <w:bottom w:val="single" w:sz="4" w:space="0" w:color="0070C0"/>
              <w:right w:val="single" w:sz="4" w:space="0" w:color="0070C0"/>
            </w:tcBorders>
            <w:noWrap/>
            <w:vAlign w:val="bottom"/>
            <w:hideMark/>
          </w:tcPr>
          <w:p w14:paraId="00357103"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25</w:t>
            </w:r>
          </w:p>
        </w:tc>
        <w:tc>
          <w:tcPr>
            <w:tcW w:w="1740" w:type="dxa"/>
            <w:tcBorders>
              <w:top w:val="nil"/>
              <w:left w:val="nil"/>
              <w:bottom w:val="single" w:sz="4" w:space="0" w:color="0070C0"/>
              <w:right w:val="single" w:sz="4" w:space="0" w:color="0070C0"/>
            </w:tcBorders>
            <w:noWrap/>
            <w:vAlign w:val="bottom"/>
            <w:hideMark/>
          </w:tcPr>
          <w:p w14:paraId="1D3D25B5" w14:textId="77777777" w:rsidR="003E4885" w:rsidRPr="003E4885" w:rsidRDefault="003E4885" w:rsidP="003E4885">
            <w:pPr>
              <w:spacing w:after="0" w:line="240" w:lineRule="auto"/>
              <w:jc w:val="center"/>
              <w:rPr>
                <w:rFonts w:ascii="Arial" w:eastAsia="Times New Roman" w:hAnsi="Arial" w:cs="Arial"/>
                <w:b/>
                <w:bCs/>
                <w:color w:val="000000"/>
                <w:sz w:val="16"/>
                <w:szCs w:val="16"/>
                <w:lang w:val="es-PE"/>
              </w:rPr>
            </w:pPr>
            <w:r w:rsidRPr="003E4885">
              <w:rPr>
                <w:rFonts w:ascii="Arial" w:eastAsia="Times New Roman" w:hAnsi="Arial" w:cs="Arial"/>
                <w:b/>
                <w:bCs/>
                <w:color w:val="000000"/>
                <w:sz w:val="16"/>
                <w:szCs w:val="16"/>
                <w:lang w:val="es-PE"/>
              </w:rPr>
              <w:t>Diciembre</w:t>
            </w:r>
          </w:p>
        </w:tc>
      </w:tr>
    </w:tbl>
    <w:p w14:paraId="0000000D" w14:textId="77777777" w:rsidR="0046017A" w:rsidRDefault="0046017A">
      <w:pPr>
        <w:pBdr>
          <w:top w:val="nil"/>
          <w:left w:val="nil"/>
          <w:bottom w:val="nil"/>
          <w:right w:val="nil"/>
          <w:between w:val="nil"/>
        </w:pBdr>
        <w:spacing w:after="0" w:line="240" w:lineRule="auto"/>
        <w:rPr>
          <w:rFonts w:ascii="Arial" w:eastAsia="Arial" w:hAnsi="Arial" w:cs="Arial"/>
          <w:color w:val="000000"/>
          <w:sz w:val="16"/>
          <w:szCs w:val="16"/>
        </w:rPr>
      </w:pPr>
    </w:p>
    <w:p w14:paraId="0000000E" w14:textId="77777777" w:rsidR="0046017A"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Notas Generales:</w:t>
      </w:r>
    </w:p>
    <w:p w14:paraId="0000000F"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Comisión 10% del servicio.</w:t>
      </w:r>
    </w:p>
    <w:p w14:paraId="00000010"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Incentivo $ 5.00 por pasajero adulto  (PAGOS DE INCENTIVOS: Se realizará los días jueves previa coordinación con administración los días lunes, martes y miércoles (pasado los 3 meses quedará sin efecto el cobro -  sin reclamo alguno).</w:t>
      </w:r>
    </w:p>
    <w:p w14:paraId="00000011" w14:textId="77777777" w:rsidR="0046017A" w:rsidRDefault="0046017A">
      <w:pPr>
        <w:spacing w:after="0" w:line="240" w:lineRule="auto"/>
        <w:ind w:left="720"/>
        <w:jc w:val="both"/>
        <w:rPr>
          <w:rFonts w:ascii="Arial" w:eastAsia="Arial" w:hAnsi="Arial" w:cs="Arial"/>
          <w:color w:val="C00000"/>
          <w:sz w:val="20"/>
          <w:szCs w:val="20"/>
        </w:rPr>
      </w:pPr>
    </w:p>
    <w:p w14:paraId="00000012" w14:textId="77777777" w:rsidR="0046017A" w:rsidRPr="00893F21" w:rsidRDefault="00000000" w:rsidP="00893F21">
      <w:pPr>
        <w:spacing w:after="0" w:line="240" w:lineRule="auto"/>
        <w:ind w:left="360"/>
        <w:jc w:val="both"/>
        <w:rPr>
          <w:rFonts w:ascii="Arial" w:eastAsia="Arial" w:hAnsi="Arial" w:cs="Arial"/>
          <w:color w:val="C00000"/>
          <w:sz w:val="20"/>
          <w:szCs w:val="20"/>
        </w:rPr>
      </w:pPr>
      <w:r w:rsidRPr="00893F21">
        <w:rPr>
          <w:rFonts w:ascii="Arial" w:eastAsia="Arial" w:hAnsi="Arial" w:cs="Arial"/>
          <w:b/>
          <w:bCs/>
          <w:color w:val="C00000"/>
          <w:sz w:val="20"/>
          <w:szCs w:val="20"/>
        </w:rPr>
        <w:t>Ava Resort Cancun:</w:t>
      </w:r>
      <w:r w:rsidRPr="00893F21">
        <w:rPr>
          <w:rFonts w:ascii="Arial" w:eastAsia="Arial" w:hAnsi="Arial" w:cs="Arial"/>
          <w:color w:val="C00000"/>
          <w:sz w:val="20"/>
          <w:szCs w:val="20"/>
        </w:rPr>
        <w:t xml:space="preserve"> </w:t>
      </w:r>
    </w:p>
    <w:p w14:paraId="00000013"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AVA Resort Cancun es un oasis expansivo y enriquecedor que abre la puerta a un universo de experiencias, eventos, actividades y comodidades. Estamos constantemente creando nuevas ideas</w:t>
      </w:r>
    </w:p>
    <w:p w14:paraId="00000014"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Mínimo 02 pasajeros</w:t>
      </w:r>
    </w:p>
    <w:p w14:paraId="00000015" w14:textId="77777777" w:rsidR="0046017A" w:rsidRPr="00893F21" w:rsidRDefault="00000000" w:rsidP="00893F21">
      <w:pPr>
        <w:pStyle w:val="Prrafodelista"/>
        <w:numPr>
          <w:ilvl w:val="0"/>
          <w:numId w:val="1"/>
        </w:numPr>
        <w:spacing w:after="0" w:line="240" w:lineRule="auto"/>
        <w:jc w:val="both"/>
        <w:rPr>
          <w:rFonts w:ascii="Arial" w:eastAsia="Arial" w:hAnsi="Arial" w:cs="Arial"/>
          <w:color w:val="FF0000"/>
          <w:sz w:val="20"/>
          <w:szCs w:val="20"/>
        </w:rPr>
      </w:pPr>
      <w:r w:rsidRPr="00893F21">
        <w:rPr>
          <w:rFonts w:ascii="Arial" w:eastAsia="Arial" w:hAnsi="Arial" w:cs="Arial"/>
          <w:b/>
          <w:bCs/>
          <w:color w:val="FF0000"/>
          <w:sz w:val="20"/>
          <w:szCs w:val="20"/>
        </w:rPr>
        <w:t>Tarifas DINÁMICAS, sujetos a cambio en cualquier momento y sin previo aviso.</w:t>
      </w:r>
    </w:p>
    <w:p w14:paraId="00000016"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b/>
          <w:bCs/>
          <w:sz w:val="20"/>
          <w:szCs w:val="20"/>
        </w:rPr>
        <w:t>Consultar politica de niños</w:t>
      </w:r>
    </w:p>
    <w:p w14:paraId="00000017"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Los traslados son regulares y aplica únicamente desde las 08:00 horas hasta las 20:00 horas después de ese horario considerar  traslado privado.</w:t>
      </w:r>
    </w:p>
    <w:p w14:paraId="00000018"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Toda habitación cancelada, no show estarán sujetas a cargos, consultar</w:t>
      </w:r>
    </w:p>
    <w:p w14:paraId="00000019"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Tarifa por pasajero en base a dólares americanos, se aceptan pagos en SOLES según tipo de cambio del día.</w:t>
      </w:r>
    </w:p>
    <w:p w14:paraId="0000001A" w14:textId="77777777" w:rsidR="0046017A" w:rsidRDefault="0046017A">
      <w:pPr>
        <w:spacing w:after="0" w:line="240" w:lineRule="auto"/>
        <w:jc w:val="both"/>
        <w:rPr>
          <w:rFonts w:ascii="Arial" w:eastAsia="Arial" w:hAnsi="Arial" w:cs="Arial"/>
          <w:sz w:val="20"/>
          <w:szCs w:val="20"/>
        </w:rPr>
      </w:pPr>
    </w:p>
    <w:p w14:paraId="0000001B" w14:textId="77777777" w:rsidR="0046017A" w:rsidRPr="00893F21" w:rsidRDefault="00000000" w:rsidP="00893F21">
      <w:pPr>
        <w:spacing w:after="0" w:line="240" w:lineRule="auto"/>
        <w:ind w:left="360"/>
        <w:jc w:val="both"/>
        <w:rPr>
          <w:rFonts w:ascii="Arial" w:eastAsia="Arial" w:hAnsi="Arial" w:cs="Arial"/>
          <w:color w:val="C00000"/>
          <w:sz w:val="20"/>
          <w:szCs w:val="20"/>
        </w:rPr>
      </w:pPr>
      <w:r w:rsidRPr="00893F21">
        <w:rPr>
          <w:rFonts w:ascii="Arial" w:eastAsia="Arial" w:hAnsi="Arial" w:cs="Arial"/>
          <w:b/>
          <w:bCs/>
          <w:color w:val="C00000"/>
          <w:sz w:val="20"/>
          <w:szCs w:val="20"/>
        </w:rPr>
        <w:t>IMPORTANTE:</w:t>
      </w:r>
    </w:p>
    <w:p w14:paraId="0000001C"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A través de su página web, la Embajada de México en Perú confirmó que a partir del 06 de mayo de 2024, los peruanos necesitarán de visa para ingresar a México con fines de turismo y negocios. Los viajes programados antes del 06 de mayo, NO necesitan visa.</w:t>
      </w:r>
    </w:p>
    <w:p w14:paraId="0000001D"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Además, no requerirán visa aquellas personas que sean portadoras de una Visa válida y vigente de entradas múltiples de Canadá, Estados Unidos, Japón, Reino Unido o cualquier país que pertenezca al espacio Schengen. Hace un mes el gobierno mexicano inició la evaluación de esta medida debido al alto flujo de peruanos que viajan ilegalmente a Estados Unidos a través de la frontera con México.</w:t>
      </w:r>
    </w:p>
    <w:p w14:paraId="0000001E"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“Todos los trámites requieren cita programada exclusivamente en este portal: MI CONSULADO. La programación de la cita es completamente GRATUITA.</w:t>
      </w:r>
    </w:p>
    <w:p w14:paraId="0000001F"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Se recomienda obtener la visa por lo menos cinco semanas previas a su viaje y que los gastos de viaje se efectúen únicamente después de que la visa haya sido emitida.”</w:t>
      </w:r>
    </w:p>
    <w:p w14:paraId="00000020"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A partir del 01 de abril de 2021 entra en vigor VISITAX para facilitar el pago del aprovechamiento al turismo extranjero</w:t>
      </w:r>
    </w:p>
    <w:p w14:paraId="00000021"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Podrá realizarse desde el portal web http://visitax.gob.mx/</w:t>
      </w:r>
    </w:p>
    <w:p w14:paraId="00000022"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t>El turista extranjero podrá cubrirlo antes de su llegada o durante su estancia. El  portal  web  de  VISITAX  es  una  herramienta  tecnológica  que  les  permite  a  los  turistas extranjeros realizar el pago por la cantidad de $224 pesos mexicanos o $11.00 dólares aprox antes y/o durante su estancia</w:t>
      </w:r>
    </w:p>
    <w:p w14:paraId="00000023" w14:textId="77777777" w:rsidR="0046017A" w:rsidRPr="00893F21" w:rsidRDefault="00000000" w:rsidP="00893F21">
      <w:pPr>
        <w:pStyle w:val="Prrafodelista"/>
        <w:numPr>
          <w:ilvl w:val="0"/>
          <w:numId w:val="1"/>
        </w:numPr>
        <w:spacing w:after="0" w:line="240" w:lineRule="auto"/>
        <w:jc w:val="both"/>
        <w:rPr>
          <w:rFonts w:ascii="Arial" w:eastAsia="Arial" w:hAnsi="Arial" w:cs="Arial"/>
          <w:sz w:val="20"/>
          <w:szCs w:val="20"/>
        </w:rPr>
      </w:pPr>
      <w:r w:rsidRPr="00893F21">
        <w:rPr>
          <w:rFonts w:ascii="Arial" w:eastAsia="Arial" w:hAnsi="Arial" w:cs="Arial"/>
          <w:sz w:val="20"/>
          <w:szCs w:val="20"/>
        </w:rPr>
        <w:lastRenderedPageBreak/>
        <w:t>El  comprobante  de  pago  (ejemplificado  a  continuación)  deberá  ser  descargado para posteriormente mostrarlo en el aeropuerto antes de su salida. En caso de no haberlo realizado  con  antelación,  recibirán  asistencia  en  el  aeropuerto  para  hacerlo  en  ese momento</w:t>
      </w:r>
    </w:p>
    <w:p w14:paraId="00000024" w14:textId="77777777" w:rsidR="0046017A" w:rsidRPr="00893F21" w:rsidRDefault="00000000" w:rsidP="00893F21">
      <w:pPr>
        <w:pStyle w:val="Prrafodelista"/>
        <w:numPr>
          <w:ilvl w:val="0"/>
          <w:numId w:val="1"/>
        </w:numPr>
        <w:pBdr>
          <w:top w:val="nil"/>
          <w:left w:val="nil"/>
          <w:bottom w:val="nil"/>
          <w:right w:val="nil"/>
          <w:between w:val="nil"/>
        </w:pBdr>
        <w:spacing w:after="0" w:line="240" w:lineRule="auto"/>
        <w:jc w:val="both"/>
        <w:rPr>
          <w:rFonts w:ascii="Arial" w:eastAsia="Arial" w:hAnsi="Arial" w:cs="Arial"/>
          <w:color w:val="000000"/>
          <w:sz w:val="20"/>
          <w:szCs w:val="20"/>
        </w:rPr>
      </w:pPr>
      <w:r w:rsidRPr="00893F21">
        <w:rPr>
          <w:rFonts w:ascii="Arial" w:eastAsia="Arial" w:hAnsi="Arial" w:cs="Arial"/>
          <w:color w:val="000000"/>
          <w:sz w:val="20"/>
          <w:szCs w:val="20"/>
        </w:rPr>
        <w:t>Tomar nota que por una nueva disposición del Gobierno de México a partir del 01 de Febrero, 2024 (Fecha de viaje, no de venta) se incrementará la tasa medioambiental que se paga en los estados de Quintana Roo. Los pasajeros deben pagar un derecho de $76.00 Pesos Mex. ($4.43 dólares aprox) por habitación por noche al momento de check in</w:t>
      </w:r>
    </w:p>
    <w:p w14:paraId="00000025" w14:textId="77777777" w:rsidR="0046017A" w:rsidRDefault="0046017A">
      <w:pPr>
        <w:pBdr>
          <w:top w:val="nil"/>
          <w:left w:val="nil"/>
          <w:bottom w:val="nil"/>
          <w:right w:val="nil"/>
          <w:between w:val="nil"/>
        </w:pBdr>
        <w:spacing w:after="0" w:line="240" w:lineRule="auto"/>
        <w:rPr>
          <w:rFonts w:ascii="Arial" w:eastAsia="Arial" w:hAnsi="Arial" w:cs="Arial"/>
          <w:color w:val="000000"/>
        </w:rPr>
      </w:pPr>
    </w:p>
    <w:p w14:paraId="00000026" w14:textId="77777777" w:rsidR="0046017A" w:rsidRDefault="0046017A">
      <w:pPr>
        <w:spacing w:after="0" w:line="240" w:lineRule="auto"/>
        <w:jc w:val="center"/>
        <w:rPr>
          <w:rFonts w:ascii="Arial" w:eastAsia="Arial" w:hAnsi="Arial" w:cs="Arial"/>
          <w:b/>
          <w:bCs/>
          <w:color w:val="E36C0A"/>
          <w:sz w:val="24"/>
          <w:szCs w:val="24"/>
        </w:rPr>
      </w:pPr>
    </w:p>
    <w:p w14:paraId="00000027" w14:textId="77777777" w:rsidR="0046017A" w:rsidRDefault="00000000">
      <w:pPr>
        <w:spacing w:after="0" w:line="240" w:lineRule="auto"/>
        <w:jc w:val="center"/>
        <w:rPr>
          <w:rFonts w:ascii="Arial" w:eastAsia="Arial" w:hAnsi="Arial" w:cs="Arial"/>
          <w:color w:val="E36C0A"/>
          <w:sz w:val="28"/>
          <w:szCs w:val="28"/>
        </w:rPr>
      </w:pPr>
      <w:r>
        <w:rPr>
          <w:rFonts w:ascii="Arial" w:eastAsia="Arial" w:hAnsi="Arial" w:cs="Arial"/>
          <w:b/>
          <w:bCs/>
          <w:color w:val="E36C0A"/>
          <w:sz w:val="24"/>
          <w:szCs w:val="24"/>
        </w:rPr>
        <w:t>MATERIAL DE USO EXCLUSIVO PARA AGENCIAS DE VIAJES</w:t>
      </w:r>
    </w:p>
    <w:sectPr w:rsidR="0046017A">
      <w:pgSz w:w="11906" w:h="16838"/>
      <w:pgMar w:top="142" w:right="1416" w:bottom="1417" w:left="127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D2F1E25-EB51-1D49-99C7-F6A7AE9F8197}"/>
  </w:font>
  <w:font w:name="Times New Roman">
    <w:panose1 w:val="02020603050405020304"/>
    <w:charset w:val="00"/>
    <w:family w:val="roman"/>
    <w:pitch w:val="variable"/>
    <w:sig w:usb0="E0002EFF" w:usb1="C000785B" w:usb2="00000009" w:usb3="00000000" w:csb0="000001FF" w:csb1="00000000"/>
    <w:embedRegular r:id="rId2" w:fontKey="{AD611191-B57E-6F48-ADDA-C901BA0204FA}"/>
    <w:embedBold r:id="rId3" w:fontKey="{FE1DC324-610B-0F42-9532-F1153091E68B}"/>
  </w:font>
  <w:font w:name="Courier New">
    <w:panose1 w:val="02070309020205020404"/>
    <w:charset w:val="00"/>
    <w:family w:val="modern"/>
    <w:pitch w:val="fixed"/>
    <w:sig w:usb0="E0002AFF" w:usb1="C0007843" w:usb2="00000009" w:usb3="00000000" w:csb0="000001FF" w:csb1="00000000"/>
    <w:embedRegular r:id="rId4" w:fontKey="{2B1675F0-4612-1646-A77D-78C342BFAB13}"/>
  </w:font>
  <w:font w:name="Wingdings">
    <w:panose1 w:val="05000000000000000000"/>
    <w:charset w:val="4D"/>
    <w:family w:val="decorative"/>
    <w:pitch w:val="variable"/>
    <w:sig w:usb0="00000003" w:usb1="00000000" w:usb2="00000000" w:usb3="00000000" w:csb0="80000001" w:csb1="00000000"/>
    <w:embedRegular r:id="rId5" w:fontKey="{02783A5B-4F6F-CD48-B7FF-AC5BC774626D}"/>
  </w:font>
  <w:font w:name="Calibri">
    <w:panose1 w:val="020F0502020204030204"/>
    <w:charset w:val="00"/>
    <w:family w:val="swiss"/>
    <w:pitch w:val="variable"/>
    <w:sig w:usb0="E0002AFF" w:usb1="C000247B" w:usb2="00000009" w:usb3="00000000" w:csb0="000001FF" w:csb1="00000000"/>
    <w:embedRegular r:id="rId6" w:fontKey="{5DAB6397-44AE-1147-821F-17F9B0F07C3C}"/>
    <w:embedBold r:id="rId7" w:fontKey="{55DD1BB0-DC8B-1A47-9A64-CD252EDDC7D7}"/>
  </w:font>
  <w:font w:name="Georgia">
    <w:panose1 w:val="02040502050405020303"/>
    <w:charset w:val="00"/>
    <w:family w:val="roman"/>
    <w:pitch w:val="variable"/>
    <w:sig w:usb0="00000287" w:usb1="00000000" w:usb2="00000000" w:usb3="00000000" w:csb0="0000009F" w:csb1="00000000"/>
    <w:embedItalic r:id="rId8" w:fontKey="{C38C03CD-0A3D-F043-8199-4C45AC163B72}"/>
  </w:font>
  <w:font w:name="Arial Black">
    <w:panose1 w:val="020B0A04020102020204"/>
    <w:charset w:val="00"/>
    <w:family w:val="swiss"/>
    <w:pitch w:val="variable"/>
    <w:sig w:usb0="A00002AF" w:usb1="400078FB" w:usb2="00000000" w:usb3="00000000" w:csb0="0000009F" w:csb1="00000000"/>
    <w:embedRegular r:id="rId9" w:fontKey="{362DA802-2A0E-4A4A-83F5-9AEDF44DE2DE}"/>
    <w:embedBold r:id="rId10" w:fontKey="{9D75FDC3-5249-ED4B-82BE-1AE93D6733D4}"/>
  </w:font>
  <w:font w:name="Arial">
    <w:panose1 w:val="020B0604020202020204"/>
    <w:charset w:val="00"/>
    <w:family w:val="swiss"/>
    <w:pitch w:val="variable"/>
    <w:sig w:usb0="E0002AFF" w:usb1="C0007843" w:usb2="00000009" w:usb3="00000000" w:csb0="000001FF" w:csb1="00000000"/>
    <w:embedRegular r:id="rId11" w:fontKey="{31F60FBE-0237-C944-B6F2-62F416AD9145}"/>
    <w:embedBold r:id="rId12" w:fontKey="{1B6D11D1-5778-9B40-9D2A-C63B23E92894}"/>
  </w:font>
  <w:font w:name="Cambria">
    <w:panose1 w:val="02040503050406030204"/>
    <w:charset w:val="00"/>
    <w:family w:val="roman"/>
    <w:pitch w:val="variable"/>
    <w:sig w:usb0="E00006FF" w:usb1="420024FF" w:usb2="02000000" w:usb3="00000000" w:csb0="0000019F" w:csb1="00000000"/>
    <w:embedRegular r:id="rId13" w:fontKey="{F2D69D60-4012-A44A-94B9-2896FA48666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8D29AE"/>
    <w:multiLevelType w:val="hybridMultilevel"/>
    <w:tmpl w:val="5E8A36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20954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17A"/>
    <w:rsid w:val="003E4885"/>
    <w:rsid w:val="0046017A"/>
    <w:rsid w:val="007262CE"/>
    <w:rsid w:val="00893F2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3D9FBD4E"/>
  <w15:docId w15:val="{284FDD20-8250-AE46-8B25-6E33A42B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rrafodelista">
    <w:name w:val="List Paragraph"/>
    <w:basedOn w:val="Normal"/>
    <w:uiPriority w:val="34"/>
    <w:qFormat/>
    <w:rsid w:val="00893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Vd8JD/dlACMPKtjAYzi6USp9UQ==">CgMxLjA4AHIhMWVQUXpJYUFyUEs3bW5Za0Zvbk02RnNqaXlfYTBybVlV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2871</Characters>
  <Application>Microsoft Office Word</Application>
  <DocSecurity>0</DocSecurity>
  <Lines>87</Lines>
  <Paragraphs>63</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Johnny Franco Otoya</cp:lastModifiedBy>
  <cp:revision>3</cp:revision>
  <dcterms:created xsi:type="dcterms:W3CDTF">2026-10-07T15:56:00Z</dcterms:created>
  <dcterms:modified xsi:type="dcterms:W3CDTF">2026-10-07T16:17:00Z</dcterms:modified>
</cp:coreProperties>
</file>